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B36"/>
          <w:sz w:val="46"/>
        </w:rPr>
        <w:t xml:space="preserve">Habilin Security Self Assessment</w:t>
      </w:r>
    </w:p>
    <w:p>
      <w:pPr>
        <w:spacing w:after="320"/>
      </w:pPr>
      <w:r>
        <w:rPr>
          <w:color w:val="616C7F"/>
          <w:sz w:val="20"/>
        </w:rPr>
        <w:t>Optional supporting material.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B36"/>
              </w:rPr>
              <w:t xml:space="preserve">Team Caelus</w:t>
            </w:r>
          </w:p>
        </w:tc>
      </w:tr>
      <w:tr>
        <w:tc>
          <w:tcPr>
            <w:tcW w:type="dxa" w:w="2088"/>
            <w:shd w:fill="EEF3FF"/>
          </w:tcPr>
          <w:p>
            <w:pPr>
              <w:spacing w:after="0"/>
            </w:pPr>
            <w:r>
              <w:rPr>
                <w:b/>
                <w:sz w:val="18"/>
              </w:rPr>
              <w:t>Competition track</w:t>
            </w:r>
          </w:p>
        </w:tc>
        <w:tc>
          <w:tcPr>
            <w:tcW w:type="dxa" w:w="7704"/>
          </w:tcPr>
          <w:p>
            <w:r>
              <w:rPr>
                <w:color w:val="172B36"/>
              </w:rPr>
              <w:t xml:space="preserve">International AI Track · Topic A provisional</w:t>
            </w:r>
          </w:p>
        </w:tc>
      </w:tr>
      <w:tr>
        <w:tc>
          <w:tcPr>
            <w:tcW w:type="dxa" w:w="2088"/>
            <w:shd w:fill="EEF3FF"/>
          </w:tcPr>
          <w:p>
            <w:pPr>
              <w:spacing w:after="0"/>
            </w:pPr>
            <w:r>
              <w:rPr>
                <w:b/>
                <w:sz w:val="18"/>
              </w:rPr>
              <w:t>Submission date</w:t>
            </w:r>
          </w:p>
        </w:tc>
        <w:tc>
          <w:tcPr>
            <w:tcW w:type="dxa" w:w="7704"/>
          </w:tcPr>
          <w:p>
            <w:r>
              <w:rPr>
                <w:color w:val="172B36"/>
              </w:rPr>
              <w:t xml:space="preserve">20 October 2026</w:t>
            </w:r>
          </w:p>
        </w:tc>
      </w:tr>
    </w:tbl>
    <w:p/>
    <w:p>
      <w:pPr>
        <w:pStyle w:val="Heading1"/>
      </w:pPr>
      <w:r>
        <w:t>01 Permission Model</w:t>
      </w:r>
    </w:p>
    <w:p>
      <w:pPr>
        <w:pStyle w:val="ListBullet"/>
        <w:spacing w:after="100"/>
      </w:pPr>
      <w:r>
        <w:t>Roles, operations and permission boundaries</w:t>
      </w:r>
    </w:p>
    <w:p>
      <w:pPr>
        <w:spacing w:after="180"/>
        <w:ind w:left="317"/>
      </w:pPr>
      <w:r>
        <w:rPr>
          <w:color w:val="172B36"/>
        </w:rPr>
        <w:t xml:space="preserve">Three authenticated demo identities share one authorized case. Operator collects records, prepares the packet and progresses approved execution. Professional explicitly reviews current evidence and packet. Owner authorizes one exact filing/payment with confirmation plus a separate code, and can engage the safety lock. Server-side role mapping is immutable through chat or request JSON. Tool methods repeat role, stage, lock, evidence and approval checks. The Principal object is internal trusted server context; HTTP clients cannot supply one. No arbitrary transfer, saved-payee change, raised limit, shell, URL-fetch, local-secret or bulk-case export tool exists.</w:t>
      </w:r>
    </w:p>
    <w:p>
      <w:pPr>
        <w:pStyle w:val="ListBullet"/>
        <w:spacing w:after="100"/>
      </w:pPr>
      <w:r>
        <w:t>Confirmation, verification and rollback mechanisms</w:t>
      </w:r>
    </w:p>
    <w:p>
      <w:pPr>
        <w:spacing w:after="180"/>
        <w:ind w:left="317"/>
      </w:pPr>
      <w:r>
        <w:rPr>
          <w:color w:val="172B36"/>
        </w:rPr>
        <w:t xml:space="preserve">Packet fingerprints bind evidence, supporting documents, scope assumptions, case, amount, purpose and official destination. Owner codes last five minutes, are stored as hashes, lock out after five failed attempts, and are consumed on success. They are obtained from the separate local owner terminal, never an HTTP retrieval tool or chat. SQLite transactions roll back failed local operations; unique service and payment keys prevent double debit under replay/concurrency. A filing timeout remains unknown until service reconciliation. Failed payment status remains open and does not imply refund or settlement; operator reconciliation would be required. No real-world transaction rollback is promised.</w:t>
      </w:r>
    </w:p>
    <w:p>
      <w:pPr>
        <w:pStyle w:val="Heading1"/>
      </w:pPr>
      <w:r>
        <w:t>02 Security Tests</w:t>
      </w:r>
    </w:p>
    <w:p>
      <w:pPr>
        <w:pStyle w:val="ListBullet"/>
        <w:spacing w:after="100"/>
      </w:pPr>
      <w:r>
        <w:t>Prompt injection, social engineering, privilege escalation and failure recovery tests</w:t>
      </w:r>
    </w:p>
    <w:p>
      <w:pPr>
        <w:spacing w:after="180"/>
        <w:ind w:left="317"/>
      </w:pPr>
      <w:r>
        <w:rPr>
          <w:color w:val="172B36"/>
        </w:rPr>
        <w:t xml:space="preserve">70 automated tests pass, including 20 adversarial tests from an independent AI red-team; its findings were fixed. Induced transfer: personal destination, extra amount argument and new-payee/raised-limit calls are rejected. Extraction: unauthenticated state, unrelated case, access-token file and code endpoint attempts fail; returned case data omits tokens. Escalation: spoofed role/subject, operator approval and skipped approval calls fail. Injection: a malicious issuer note remains stored data and does not change destination, approval or payment. Recovery: stale hashes, expired/exhausted/reused codes, active lock, missing CPA statement, disputed ownership, low reserve, concurrent replay, pending/failed payment, restart and uncertain filing are exercised. HTTP tests bypass the interface and offline dialogue tests include correction, ambiguity, Taglish and unrelated input. Recorded live runs exercise progress/status/unsafe intent, not a large adversarial model benchmark.</w:t>
      </w:r>
    </w:p>
    <w:p>
      <w:pPr>
        <w:pStyle w:val="Heading1"/>
      </w:pPr>
      <w:r>
        <w:t>03 Data and Privacy</w:t>
      </w:r>
    </w:p>
    <w:p>
      <w:pPr>
        <w:pStyle w:val="ListBullet"/>
        <w:spacing w:after="100"/>
      </w:pPr>
      <w:r>
        <w:t>Data provenance, consent, minimisation, storage and deletion</w:t>
      </w:r>
    </w:p>
    <w:p>
      <w:pPr>
        <w:spacing w:after="180"/>
        <w:ind w:left="317"/>
      </w:pPr>
      <w:r>
        <w:rPr>
          <w:color w:val="172B36"/>
        </w:rPr>
        <w:t xml:space="preserve">Every case/person/document is a synthetic fixture. No real customer consent or institutional authorization is claimed. The app sends bounded synthetic message text and an intent catalog to the configured TypeSafe service in live mode; it does not send the case database or approval codes. Offline mode sends no model request. Do not enter real records: the ordinary six-digit code guard is not comprehensive personal-data detection. SQLite contains evidence, approvals, ledger and redacted audit events. OS permissions restrict local database and credential files; these are not encrypted multi-tenant storage. The source archive excludes .runtime, tokens, code hashes, environment files and private registration proofs. Retain or delete the selected local runtime directory manually; the app performs no automatic data destruction.</w:t>
      </w:r>
    </w:p>
    <w:p>
      <w:pPr>
        <w:pStyle w:val="Heading1"/>
      </w:pPr>
      <w:r>
        <w:t>04 Known Risks</w:t>
      </w:r>
    </w:p>
    <w:p>
      <w:pPr>
        <w:pStyle w:val="ListBullet"/>
        <w:spacing w:after="100"/>
      </w:pPr>
      <w:r>
        <w:t>Risk, impact, mitigation and planned improvement</w:t>
      </w:r>
    </w:p>
    <w:p>
      <w:pPr>
        <w:spacing w:after="180"/>
        <w:ind w:left="317"/>
      </w:pPr>
      <w:r>
        <w:rPr>
          <w:color w:val="172B36"/>
        </w:rPr>
        <w:t xml:space="preserve">All role credentials and owner-code generation are available to a person with access to the same OS account, so this prototype demonstrates tool authorization rather than independent production identity. The loopback standard-library server must not be exposed publicly. Production needs independent identity/code delivery, rate limiting and monitoring, encrypted storage, reviewed jurisdiction rules, institution authentication, immutable third-party evidence and reconciliation for real failures. The TypeSafe model alias is not pinned; remote availability and general classification accuracy are unmeasured. No professional reviewed this as an individual estate filing. Topic A acceptance and team eligibility remain unconfirmed; the team will complete those administrative steps.</w:t>
      </w:r>
    </w:p>
    <w:sectPr w:rsidR="00FC693F" w:rsidRPr="0006063C" w:rsidSect="00034616">
      <w:footerReference w:type="default" ns2: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