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4C5171"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b/>
          <w:sz w:val="32"/>
        </w:rPr>
        <w:t>Structural-Functional Divergence During Submarine-Cable Disruptions: Evidence from Yemen's FALCON Dependence</w:t>
      </w:r>
    </w:p>
    <w:p w14:paraId="03DD4AB9"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b/>
          <w:sz w:val="22"/>
        </w:rPr>
        <w:t>Ezzaldeen Al-Tayar¹, Abdullateef Ali¹,*</w:t>
      </w:r>
    </w:p>
    <w:p w14:paraId="5B88598C" w14:textId="6818A741" w:rsidR="00CB05B6" w:rsidRPr="00E0746E" w:rsidRDefault="00000000">
      <w:pPr>
        <w:spacing w:line="259" w:lineRule="auto"/>
        <w:jc w:val="center"/>
        <w:rPr>
          <w:rFonts w:asciiTheme="majorBidi" w:hAnsiTheme="majorBidi" w:cstheme="majorBidi"/>
        </w:rPr>
      </w:pPr>
      <w:r>
        <w:rPr>
          <w:sz w:val="20"/>
        </w:rPr>
        <w:t>¹ Faculty of Engineering and Information Technology, Taiz University, Taiz, Yemen</w:t>
      </w:r>
      <w:r>
        <w:rPr>
          <w:sz w:val="20"/>
        </w:rPr>
        <w:br/>
        <w:t>Ezzaldeen Al-Tayar: azzaltayyar@gmail.com</w:t>
      </w:r>
      <w:r>
        <w:rPr>
          <w:sz w:val="20"/>
        </w:rPr>
        <w:br/>
        <w:t xml:space="preserve">* Corresponding author: Abdullateef Ali, </w:t>
      </w:r>
      <w:r w:rsidR="005F263E" w:rsidRPr="005F263E">
        <w:rPr>
          <w:sz w:val="20"/>
        </w:rPr>
        <w:t>abullateef.ali@taiz.edu.ye</w:t>
      </w:r>
    </w:p>
    <w:p w14:paraId="18E02E7F" w14:textId="77777777" w:rsidR="00872D73" w:rsidRDefault="00000000">
      <w:pPr>
        <w:spacing w:line="259" w:lineRule="auto"/>
      </w:pPr>
      <w:r>
        <w:rPr>
          <w:b/>
        </w:rPr>
        <w:t xml:space="preserve">Author contributions: </w:t>
      </w:r>
      <w:r>
        <w:t>Ezzaldeen Al-Tayar: Conceptualization, Investigation, Writing – original draft. Abdullateef Ali: Investigation, Data curation, Resources. Both authors reviewed and approved the final manuscript.</w:t>
      </w:r>
    </w:p>
    <w:p w14:paraId="6B64816C" w14:textId="77777777" w:rsidR="00872D73" w:rsidRDefault="00000000">
      <w:pPr>
        <w:spacing w:line="259" w:lineRule="auto"/>
      </w:pPr>
      <w:r>
        <w:br w:type="page"/>
      </w:r>
    </w:p>
    <w:p w14:paraId="09C5EA6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lastRenderedPageBreak/>
        <w:t>Abstract</w:t>
      </w:r>
    </w:p>
    <w:p w14:paraId="08BEF127" w14:textId="77777777" w:rsidR="00CB05B6" w:rsidRPr="00E0746E" w:rsidRDefault="00000000">
      <w:pPr>
        <w:spacing w:line="259" w:lineRule="auto"/>
        <w:rPr>
          <w:rFonts w:asciiTheme="majorBidi" w:hAnsiTheme="majorBidi" w:cstheme="majorBidi"/>
        </w:rPr>
      </w:pPr>
      <w:r>
        <w:t>National Internet resilience can be overstated when control-plane visibility is treated as equivalent to user-facing service. This study examines Yemen's dependence on the FALCON submarine cable using analytically separate Border Gateway Protocol (BGP) visibility, active reachability, reported capacity, and country-level connectivity indicators. The January 2020 FALCON cut is the primary event. Public reporting indicates approximately 80% loss of international capacity for almost a week, alongside observed loss of an AS15412 dependency and rapid AS30873 routing failover. Digitization of previously published normalized IODA plots gives acute-window median retention of 95.7% for the AS30873 BGP-visibility proxy and 44.8% for active probing, a descriptive 50.8-percentage-point gap. Reanalysis of existing plot-derived window summaries finds gaps of 56.1, 50.8, and 44.6 percentage points during early degradation, the acute window, and the post-midnight period, respectively. AS12486 has 100% acute-window median active-probing retention but only 95.6% mean retention, highlighting sensitivity to the summary statistic. A factorial digitization/window sensitivity grid bounds the acute AS30873 gap between 45.8 and 55.2 points. An August 2026 BGP-origin snapshot indicates present-day concentration only and is not projected backward to 2020. Comparison with the November 2023 FALCON maintenance event is qualitative because measurement families and operating regimes differ. Native January 2020 IODA samples and complete matched-vantage MRT/BGPStream reconstructions remain unavailable for this analysis; therefore route-level change, topology-wide cascade, and predictive-recovery claims remain withheld. The supported contribution is an event-specific, measurement-aware assessment of the mismatch between visibility and reachability under a documented physical cable disruption.</w:t>
      </w:r>
    </w:p>
    <w:p w14:paraId="20361653"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Keywords: Submarine cables; Internet resilience; BGP; structural-functional divergence; critical infrastructure; Yemen.</w:t>
      </w:r>
    </w:p>
    <w:p w14:paraId="5603279F"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 Introduction</w:t>
      </w:r>
    </w:p>
    <w:p w14:paraId="5213E4D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Submarine telecommunications cables form the physical backbone of international digital communications. The International Telecommunication Union (ITU) states that these systems carry more than 99% of global data traffic and identifies physical exposure, repair delay, geographic concentration, and dependence on a small number of cable systems as major resilience challenges [1]. In July 2026, the ITU-ICPC International Advisory Body on Submarine Cable Resilience approved recommendations emphasizing route diversity, infrastructure redundancy, improved risk identification, preparedness, and faster repair [2]. These priorities are especially consequential for underserved or geographically constrained countries whose international connectivity can converge on a small number of physical and logical dependencies.</w:t>
      </w:r>
    </w:p>
    <w:p w14:paraId="603DE889" w14:textId="77777777" w:rsidR="00CB05B6" w:rsidRPr="00E0746E" w:rsidRDefault="00000000">
      <w:pPr>
        <w:spacing w:line="259" w:lineRule="auto"/>
        <w:rPr>
          <w:rFonts w:asciiTheme="majorBidi" w:hAnsiTheme="majorBidi" w:cstheme="majorBidi"/>
        </w:rPr>
      </w:pPr>
      <w:r>
        <w:t>Yemen provides a technically important event-based empirical case setting because international connectivity has historically depended heavily on the FALCON submarine cable system while backup options have been limited, operationally constrained, or incompletely activated. A cable failure therefore cannot be understood only as a physical infrastructure event. It can cause Border Gateway Protocol (BGP) routing withdrawal or path switching, expose national transit concentration, affect prefixes belonging to multiple organizational operators, degrade service even when some BGP reachability remains, and produce long recovery trajectories that are not captured by static vulnerability metrics.</w:t>
      </w:r>
    </w:p>
    <w:p w14:paraId="420EBBF7"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Recent Internet measurement research has substantially advanced cross-layer cable/IP cartography and physical-network exposure analysis. Nautilus [3] maps likely IP links to candidate submarine cables with confidence scores, Xaminer [4] evaluates cross-layer physical/network exposure, and Calypso [5] maps traceroute-derived digital routes across submarine systems. Recent multilayer studies further show that multilayer representation and shared physical risk are not, by themselves, sufficient novelty claims [6,7]. Multi-source outage research has also established that control-plane visibility can diverge from data-plane or active reachability during large Internet disruptions [8,9]. Accordingly, this study does not claim the first cable-to-IP map, the first multilayer Internet model, the first cascading-failure model, or the first observation of control-/forwarding-plane decoupling. Its narrower empirical question is how a large structural-functional divergence manifests during a physically anchored submarine-cable disruption in a highly dependent national critical-infrastructure setting, and what that evidence implies for redundancy and recovery interpretation.</w:t>
      </w:r>
    </w:p>
    <w:p w14:paraId="4A4DD7A9" w14:textId="77777777" w:rsidR="00CB05B6" w:rsidRPr="00E0746E" w:rsidRDefault="00000000">
      <w:pPr>
        <w:spacing w:line="259" w:lineRule="auto"/>
        <w:rPr>
          <w:rFonts w:asciiTheme="majorBidi" w:hAnsiTheme="majorBidi" w:cstheme="majorBidi"/>
        </w:rPr>
      </w:pPr>
      <w:r>
        <w:t xml:space="preserve">The study therefore uses the Red Sea-Yemen connectivity setting as an event-based resilience case rather than as a claim of unique geography. A three-layer dependency architecture (submarine infrastructure, international routing, </w:t>
      </w:r>
      <w:r>
        <w:lastRenderedPageBreak/>
        <w:t>and national autonomous-system (AS)/BGP resources) is retained as an organizing model, but the released quantitative claims are limited to evidence that is actually instantiated and validated.</w:t>
      </w:r>
    </w:p>
    <w:p w14:paraId="27573B93" w14:textId="77777777" w:rsidR="00CB05B6" w:rsidRPr="00E0746E" w:rsidRDefault="00000000">
      <w:pPr>
        <w:pStyle w:val="21"/>
        <w:spacing w:before="160"/>
        <w:rPr>
          <w:rFonts w:asciiTheme="majorBidi" w:hAnsiTheme="majorBidi"/>
          <w:color w:val="auto"/>
        </w:rPr>
      </w:pPr>
      <w:r w:rsidRPr="00E0746E">
        <w:rPr>
          <w:rFonts w:asciiTheme="majorBidi" w:hAnsiTheme="majorBidi"/>
        </w:rPr>
        <w:t>1.1 Research Questions</w:t>
      </w:r>
    </w:p>
    <w:p w14:paraId="58952D53" w14:textId="77777777" w:rsidR="00CB05B6" w:rsidRPr="00E0746E" w:rsidRDefault="00000000">
      <w:pPr>
        <w:pStyle w:val="a"/>
        <w:rPr>
          <w:rFonts w:asciiTheme="majorBidi" w:hAnsiTheme="majorBidi" w:cstheme="majorBidi"/>
        </w:rPr>
      </w:pPr>
      <w:r w:rsidRPr="00E0746E">
        <w:rPr>
          <w:rFonts w:asciiTheme="majorBidi" w:hAnsiTheme="majorBidi" w:cstheme="majorBidi"/>
        </w:rPr>
        <w:t>RQ1. How did control-plane and functional-service indicators respond during the January 2020 FALCON disruption?</w:t>
      </w:r>
    </w:p>
    <w:p w14:paraId="6DF8A875" w14:textId="77777777" w:rsidR="00CB05B6" w:rsidRPr="00E0746E" w:rsidRDefault="00000000">
      <w:pPr>
        <w:pStyle w:val="a"/>
        <w:rPr>
          <w:rFonts w:asciiTheme="majorBidi" w:hAnsiTheme="majorBidi" w:cstheme="majorBidi"/>
        </w:rPr>
      </w:pPr>
      <w:r w:rsidRPr="00E0746E">
        <w:rPr>
          <w:rFonts w:asciiTheme="majorBidi" w:hAnsiTheme="majorBidi" w:cstheme="majorBidi"/>
        </w:rPr>
        <w:t>RQ2. How does the descriptive gap between BGP visibility and active reachability vary by event phase and observed AS during the January 2020 FALCON disruption?</w:t>
      </w:r>
    </w:p>
    <w:p w14:paraId="77639280" w14:textId="77777777" w:rsidR="00CB05B6" w:rsidRPr="00E0746E" w:rsidRDefault="00000000">
      <w:pPr>
        <w:pStyle w:val="a"/>
        <w:rPr>
          <w:rFonts w:asciiTheme="majorBidi" w:hAnsiTheme="majorBidi" w:cstheme="majorBidi"/>
        </w:rPr>
      </w:pPr>
      <w:r w:rsidRPr="00E0746E">
        <w:rPr>
          <w:rFonts w:asciiTheme="majorBidi" w:hAnsiTheme="majorBidi" w:cstheme="majorBidi"/>
        </w:rPr>
        <w:t>RQ3. What does the current resource-origin concentration pattern reveal about potential common dependencies without assuming that the 2026 snapshot represents the 2020 topology?</w:t>
      </w:r>
    </w:p>
    <w:p w14:paraId="41F83E66" w14:textId="77777777" w:rsidR="00CB05B6" w:rsidRPr="00E0746E" w:rsidRDefault="00000000">
      <w:pPr>
        <w:pStyle w:val="a"/>
        <w:rPr>
          <w:rFonts w:asciiTheme="majorBidi" w:hAnsiTheme="majorBidi" w:cstheme="majorBidi"/>
        </w:rPr>
      </w:pPr>
      <w:r w:rsidRPr="00E0746E">
        <w:rPr>
          <w:rFonts w:asciiTheme="majorBidi" w:hAnsiTheme="majorBidi" w:cstheme="majorBidi"/>
        </w:rPr>
        <w:t>RQ4. How transferable are event-specific severity and recovery patterns from the unplanned 2020 FALCON cut to the scheduled 2023 FALCON maintenance event?</w:t>
      </w:r>
    </w:p>
    <w:p w14:paraId="6B7E994E" w14:textId="77777777" w:rsidR="00CB05B6" w:rsidRPr="00E0746E" w:rsidRDefault="00000000">
      <w:pPr>
        <w:pStyle w:val="21"/>
        <w:spacing w:before="160"/>
        <w:rPr>
          <w:rFonts w:asciiTheme="majorBidi" w:hAnsiTheme="majorBidi"/>
          <w:color w:val="auto"/>
        </w:rPr>
      </w:pPr>
      <w:r w:rsidRPr="00E0746E">
        <w:rPr>
          <w:rFonts w:asciiTheme="majorBidi" w:hAnsiTheme="majorBidi"/>
        </w:rPr>
        <w:t>1.2 Contributions</w:t>
      </w:r>
    </w:p>
    <w:p w14:paraId="72CC45C3" w14:textId="77777777" w:rsidR="00CB05B6" w:rsidRPr="00E0746E" w:rsidRDefault="00000000">
      <w:pPr>
        <w:pStyle w:val="a0"/>
        <w:rPr>
          <w:rFonts w:asciiTheme="majorBidi" w:hAnsiTheme="majorBidi" w:cstheme="majorBidi"/>
        </w:rPr>
      </w:pPr>
      <w:r w:rsidRPr="00E0746E">
        <w:rPr>
          <w:rFonts w:asciiTheme="majorBidi" w:hAnsiTheme="majorBidi" w:cstheme="majorBidi"/>
        </w:rPr>
        <w:t>C1. A measurement-family-specific resilience design that keeps routing visibility, active reachability, reported capacity, and country-level connectivity/traffic indicators analytically distinct.</w:t>
      </w:r>
    </w:p>
    <w:p w14:paraId="219D3092" w14:textId="77777777" w:rsidR="00CB05B6" w:rsidRPr="00E0746E" w:rsidRDefault="00000000">
      <w:pPr>
        <w:pStyle w:val="a0"/>
        <w:rPr>
          <w:rFonts w:asciiTheme="majorBidi" w:hAnsiTheme="majorBidi" w:cstheme="majorBidi"/>
        </w:rPr>
      </w:pPr>
      <w:r w:rsidRPr="00E0746E">
        <w:rPr>
          <w:rFonts w:asciiTheme="majorBidi" w:hAnsiTheme="majorBidi" w:cstheme="majorBidi"/>
        </w:rPr>
        <w:t>C2. An event-specific structural-functional divergence result, augmented by a window-level and mean-versus-median audit of existing plot-derived signals for AS30873 and AS12486; all findings remain at the descriptive aggregate-proxy level supported by the evidence.</w:t>
      </w:r>
    </w:p>
    <w:p w14:paraId="265D05B7" w14:textId="77777777" w:rsidR="00CB05B6" w:rsidRPr="00E0746E" w:rsidRDefault="00000000">
      <w:pPr>
        <w:pStyle w:val="a0"/>
        <w:rPr>
          <w:rFonts w:asciiTheme="majorBidi" w:hAnsiTheme="majorBidi" w:cstheme="majorBidi"/>
        </w:rPr>
      </w:pPr>
      <w:r w:rsidRPr="00E0746E">
        <w:rPr>
          <w:rFonts w:asciiTheme="majorBidi" w:hAnsiTheme="majorBidi" w:cstheme="majorBidi"/>
        </w:rPr>
        <w:t>C3. A resource-origin dependency analysis that uses the current BGP snapshot as present-day concentration context while explicitly avoiding historical back-projection to 2020.</w:t>
      </w:r>
    </w:p>
    <w:p w14:paraId="59B10B8E" w14:textId="77777777" w:rsidR="00CB05B6" w:rsidRPr="00E0746E" w:rsidRDefault="00000000">
      <w:pPr>
        <w:pStyle w:val="a0"/>
        <w:rPr>
          <w:rFonts w:asciiTheme="majorBidi" w:hAnsiTheme="majorBidi" w:cstheme="majorBidi"/>
        </w:rPr>
      </w:pPr>
      <w:r w:rsidRPr="00E0746E">
        <w:rPr>
          <w:rFonts w:asciiTheme="majorBidi" w:hAnsiTheme="majorBidi" w:cstheme="majorBidi"/>
        </w:rPr>
        <w:t>C4. A cross-event transferability analysis contrasting the unplanned 2020 cut with the scheduled 2023 maintenance event without treating heterogeneous measurement families as directly interchangeable.</w:t>
      </w:r>
    </w:p>
    <w:p w14:paraId="78152AC3" w14:textId="77777777" w:rsidR="00CB05B6" w:rsidRPr="00E0746E" w:rsidRDefault="00000000">
      <w:pPr>
        <w:pStyle w:val="a0"/>
        <w:rPr>
          <w:rFonts w:asciiTheme="majorBidi" w:hAnsiTheme="majorBidi" w:cstheme="majorBidi"/>
        </w:rPr>
      </w:pPr>
      <w:r w:rsidRPr="00E0746E">
        <w:rPr>
          <w:rFonts w:asciiTheme="majorBidi" w:hAnsiTheme="majorBidi" w:cstheme="majorBidi"/>
        </w:rPr>
        <w:t>C5. A reproducible evidence-provenance and robustness workflow that withholds unsupported route-level, stochastic-recovery, and machine-learning claims, and quantifies the sensitivity of the raster-derived central result rather than treating digitization choices as fixed.</w:t>
      </w:r>
    </w:p>
    <w:p w14:paraId="5F16756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2. Related Work and Research Gap</w:t>
      </w:r>
    </w:p>
    <w:p w14:paraId="7BA3905D" w14:textId="77777777" w:rsidR="00CB05B6" w:rsidRPr="00E0746E" w:rsidRDefault="00000000">
      <w:pPr>
        <w:pStyle w:val="21"/>
        <w:spacing w:before="160"/>
        <w:rPr>
          <w:rFonts w:asciiTheme="majorBidi" w:hAnsiTheme="majorBidi"/>
          <w:color w:val="auto"/>
        </w:rPr>
      </w:pPr>
      <w:r w:rsidRPr="00E0746E">
        <w:rPr>
          <w:rFonts w:asciiTheme="majorBidi" w:hAnsiTheme="majorBidi"/>
        </w:rPr>
        <w:t>2.1 Cross-Layer Submarine Cable Mapping</w:t>
      </w:r>
    </w:p>
    <w:p w14:paraId="4CE641B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Nautilus [3] established that cross-layer Internet cartography can map IP links to likely submarine cables using public datasets, geolocation, traceroute evidence, and confidence scoring. Calypso [5] extends the evidence base using traceroute and real-world validation to associate digital routes with submarine cables. Weaver et al. [10] address a complementary measurement problem: estimating submarine-segment latency from deployed traceroute infrastructure with path-change-aware methods, while showing that existing measurement systems cannot generally recover dynamic latency variability caused by congestion. Together, these studies motivate confidence-aware mapping and careful separation between what a measurement signal can observe and what it cannot. The present study therefore treats cable/path association as an inferred input rather than a novelty claim.</w:t>
      </w:r>
    </w:p>
    <w:p w14:paraId="3873BBC2" w14:textId="77777777" w:rsidR="00CB05B6" w:rsidRPr="00E0746E" w:rsidRDefault="00000000">
      <w:pPr>
        <w:pStyle w:val="21"/>
        <w:spacing w:before="160"/>
        <w:rPr>
          <w:rFonts w:asciiTheme="majorBidi" w:hAnsiTheme="majorBidi"/>
          <w:color w:val="auto"/>
        </w:rPr>
      </w:pPr>
      <w:r w:rsidRPr="00E0746E">
        <w:rPr>
          <w:rFonts w:asciiTheme="majorBidi" w:hAnsiTheme="majorBidi"/>
        </w:rPr>
        <w:t>2.2 Cross-Layer Exposure, Multilayer Robustness, and Cascading Failure</w:t>
      </w:r>
    </w:p>
    <w:p w14:paraId="4AF6D6B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Xaminer [4] is the closest methodological comparator because it evaluates interactions between physical and network-layer failures and produces cross-layer risk profiles. Recent multilayer and shared-risk work [6,7], together with broader telecommunications and interdependent-infrastructure resilience studies [11,12], further narrows any architecture-only novelty claim. Complementary resilience-design literature addresses trans-oceanic cable systems, multilevel redundancy, path diversification, optical survivability, disaster-aware carrier networks, and risk-zone-diversified network design [19-24]. The present paper therefore does not position the three-layer representation itself as the discovery. Instead, the empirical contribution is the event-based comparison of distinct measurement families and the interpretation of their divergence under a known physical cable disruption. The dependency architecture is used to interpret this evidence and to define testable conditions for effective, rather than nominal, redundancy.</w:t>
      </w:r>
    </w:p>
    <w:p w14:paraId="7A992BFC"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2.3 Control-Plane and Forwarding-Plane Divergence in Internet Outages</w:t>
      </w:r>
    </w:p>
    <w:p w14:paraId="61395124"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Multi-source Internet outage research has long shown that control-plane evidence should be interpreted alongside data-plane or reachability measurements. Dainotti et al. [8] combined BGP control-plane observations with several data-plane sources to characterize country-scale outages and showed that the two perspectives need not agree. More recently, Jahromi and Jaskolka [9] analyzed Iranian shutdowns using passive scans, active probing, and RIPE RIS BGP snapshots and found that BGP announcements can remain stable while forwarding-plane reachability collapses. These studies establish that control-/forwarding-plane decoupling is not itself a new phenomenon.</w:t>
      </w:r>
    </w:p>
    <w:p w14:paraId="6EEAAFD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contribution here is therefore not the generic observation that BGP visibility can persist during functional loss. The narrower novelty is an event-specific demonstration of a large structural-functional divergence during a physically anchored submarine-cable disruption in a highly dependent national critical-infrastructure setting, coupled with explicit measurement-family separation, common-dependency interpretation, and reproducible sensitivity analysis of the available evidence.</w:t>
      </w:r>
    </w:p>
    <w:p w14:paraId="3C67A152" w14:textId="77777777" w:rsidR="00CB05B6" w:rsidRPr="00E0746E" w:rsidRDefault="00000000">
      <w:pPr>
        <w:pStyle w:val="21"/>
        <w:spacing w:before="160"/>
        <w:rPr>
          <w:rFonts w:asciiTheme="majorBidi" w:hAnsiTheme="majorBidi"/>
          <w:color w:val="auto"/>
        </w:rPr>
      </w:pPr>
      <w:r w:rsidRPr="00E0746E">
        <w:rPr>
          <w:rFonts w:asciiTheme="majorBidi" w:hAnsiTheme="majorBidi"/>
        </w:rPr>
        <w:t>2.4 Dynamic Resilience and Uncertainty</w:t>
      </w:r>
    </w:p>
    <w:p w14:paraId="6EA489D9"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Dynamic resilience research motivates treating disruption and recovery as time-dependent [13,16-18], while uncertainty and sensitivity studies emphasize explicit treatment of epistemic uncertainty and parameter dependence [14,15]. The available Yemen event record, however, does not support estimation of a stochastic holding-time model. Accordingly, the main analysis uses an explicit state-transition architecture and event windows. A semi-Markov extension remains a future modeling option if a sufficiently large and measurement-consistent event sample becomes available; it is not presented here as an estimated result or a core contribution.</w:t>
      </w:r>
    </w:p>
    <w:p w14:paraId="3949397A" w14:textId="77777777" w:rsidR="00CB05B6" w:rsidRPr="00E0746E" w:rsidRDefault="00000000">
      <w:pPr>
        <w:pStyle w:val="21"/>
        <w:spacing w:before="160"/>
        <w:rPr>
          <w:rFonts w:asciiTheme="majorBidi" w:hAnsiTheme="majorBidi"/>
          <w:color w:val="auto"/>
        </w:rPr>
      </w:pPr>
      <w:r w:rsidRPr="00E0746E">
        <w:rPr>
          <w:rFonts w:asciiTheme="majorBidi" w:hAnsiTheme="majorBidi"/>
        </w:rPr>
        <w:t>2.5 Research Gap</w:t>
      </w:r>
    </w:p>
    <w:p w14:paraId="492EC9AC" w14:textId="77777777" w:rsidR="00CB05B6" w:rsidRPr="00E0746E" w:rsidRDefault="00000000">
      <w:pPr>
        <w:spacing w:line="259" w:lineRule="auto"/>
        <w:rPr>
          <w:rFonts w:asciiTheme="majorBidi" w:hAnsiTheme="majorBidi" w:cstheme="majorBidi"/>
        </w:rPr>
      </w:pPr>
      <w:r>
        <w:t>The research gap addressed here is narrower than a generic multilayer, cascading-failure, or control-/forwarding-plane divergence gap. Prior work already establishes that control-plane and data-plane evidence can decouple during national outages [8,9], and cross-layer tools can identify likely cable/IP associations and physical-network exposure [3-5]. What remains underdeveloped is event-specific resilience inference for a known submarine-cable failure in a highly dependent national setting when heterogeneous evidence families must be kept separate and common dependencies interpreted cautiously. This paper addresses that measurement and interpretation gap by documenting the 2020 structural-functional divergence, contextualizing present-day resource-origin concentration without historical back-projection, and testing cross-event transferability without forcing heterogeneous evidence into a single scalar performance trace. Table 1 summarizes the closest methodological comparators and the boundary addressed by this study.</w:t>
      </w:r>
    </w:p>
    <w:p w14:paraId="22FBA8D9" w14:textId="77777777" w:rsidR="00872D73" w:rsidRDefault="00000000">
      <w:pPr>
        <w:pStyle w:val="af0"/>
      </w:pPr>
      <w:r>
        <w:t>Table 1 Closest methodological comparators and the research boundary addressed by the present study</w:t>
      </w:r>
    </w:p>
    <w:tbl>
      <w:tblPr>
        <w:tblStyle w:val="afa"/>
        <w:tblW w:w="0" w:type="auto"/>
        <w:jc w:val="center"/>
        <w:tblLook w:val="04A0" w:firstRow="1" w:lastRow="0" w:firstColumn="1" w:lastColumn="0" w:noHBand="0" w:noVBand="1"/>
      </w:tblPr>
      <w:tblGrid>
        <w:gridCol w:w="2286"/>
        <w:gridCol w:w="2385"/>
        <w:gridCol w:w="2384"/>
        <w:gridCol w:w="2727"/>
      </w:tblGrid>
      <w:tr w:rsidR="00CB05B6" w:rsidRPr="00E0746E" w14:paraId="49ED3F72" w14:textId="77777777" w:rsidTr="00E0746E">
        <w:trPr>
          <w:cantSplit/>
          <w:tblHeader/>
          <w:jc w:val="center"/>
        </w:trPr>
        <w:tc>
          <w:tcPr>
            <w:tcW w:w="1699" w:type="dxa"/>
            <w:shd w:val="clear" w:color="auto" w:fill="E7E6E6"/>
            <w:tcMar>
              <w:top w:w="70" w:type="dxa"/>
              <w:left w:w="70" w:type="dxa"/>
              <w:bottom w:w="70" w:type="dxa"/>
              <w:right w:w="70" w:type="dxa"/>
            </w:tcMar>
            <w:vAlign w:val="center"/>
          </w:tcPr>
          <w:p w14:paraId="2B894CBF" w14:textId="77777777" w:rsidR="00872D73" w:rsidRDefault="00000000">
            <w:r>
              <w:rPr>
                <w:b/>
              </w:rPr>
              <w:t>Work</w:t>
            </w:r>
          </w:p>
        </w:tc>
        <w:tc>
          <w:tcPr>
            <w:tcW w:w="2333" w:type="dxa"/>
            <w:shd w:val="clear" w:color="auto" w:fill="E7E6E6"/>
            <w:tcMar>
              <w:top w:w="70" w:type="dxa"/>
              <w:left w:w="70" w:type="dxa"/>
              <w:bottom w:w="70" w:type="dxa"/>
              <w:right w:w="70" w:type="dxa"/>
            </w:tcMar>
            <w:vAlign w:val="center"/>
          </w:tcPr>
          <w:p w14:paraId="4D5212E7" w14:textId="77777777" w:rsidR="00872D73" w:rsidRDefault="00000000">
            <w:r>
              <w:rPr>
                <w:b/>
              </w:rPr>
              <w:t>Established contribution</w:t>
            </w:r>
          </w:p>
        </w:tc>
        <w:tc>
          <w:tcPr>
            <w:tcW w:w="2232" w:type="dxa"/>
            <w:shd w:val="clear" w:color="auto" w:fill="E7E6E6"/>
            <w:tcMar>
              <w:top w:w="70" w:type="dxa"/>
              <w:left w:w="70" w:type="dxa"/>
              <w:bottom w:w="70" w:type="dxa"/>
              <w:right w:w="70" w:type="dxa"/>
            </w:tcMar>
            <w:vAlign w:val="center"/>
          </w:tcPr>
          <w:p w14:paraId="60AC07C0" w14:textId="77777777" w:rsidR="00872D73" w:rsidRDefault="00000000">
            <w:r>
              <w:rPr>
                <w:b/>
              </w:rPr>
              <w:t>Overlap with this study</w:t>
            </w:r>
          </w:p>
        </w:tc>
        <w:tc>
          <w:tcPr>
            <w:tcW w:w="2952" w:type="dxa"/>
            <w:shd w:val="clear" w:color="auto" w:fill="E7E6E6"/>
            <w:tcMar>
              <w:top w:w="70" w:type="dxa"/>
              <w:left w:w="70" w:type="dxa"/>
              <w:bottom w:w="70" w:type="dxa"/>
              <w:right w:w="70" w:type="dxa"/>
            </w:tcMar>
            <w:vAlign w:val="center"/>
          </w:tcPr>
          <w:p w14:paraId="42B236CD" w14:textId="77777777" w:rsidR="00872D73" w:rsidRDefault="00000000">
            <w:r>
              <w:rPr>
                <w:b/>
              </w:rPr>
              <w:t>Remaining boundary addressed here</w:t>
            </w:r>
          </w:p>
        </w:tc>
      </w:tr>
      <w:tr w:rsidR="00CB05B6" w:rsidRPr="00E0746E" w14:paraId="447D3A2B" w14:textId="77777777" w:rsidTr="00E0746E">
        <w:trPr>
          <w:cantSplit/>
          <w:jc w:val="center"/>
        </w:trPr>
        <w:tc>
          <w:tcPr>
            <w:tcW w:w="1699" w:type="dxa"/>
            <w:tcMar>
              <w:top w:w="70" w:type="dxa"/>
              <w:left w:w="70" w:type="dxa"/>
              <w:bottom w:w="70" w:type="dxa"/>
              <w:right w:w="70" w:type="dxa"/>
            </w:tcMar>
            <w:vAlign w:val="center"/>
          </w:tcPr>
          <w:p w14:paraId="2DA7E49D" w14:textId="77777777" w:rsidR="00872D73" w:rsidRDefault="00000000">
            <w:r>
              <w:t>Nautilus [3]</w:t>
            </w:r>
          </w:p>
        </w:tc>
        <w:tc>
          <w:tcPr>
            <w:tcW w:w="2333" w:type="dxa"/>
            <w:tcMar>
              <w:top w:w="70" w:type="dxa"/>
              <w:left w:w="70" w:type="dxa"/>
              <w:bottom w:w="70" w:type="dxa"/>
              <w:right w:w="70" w:type="dxa"/>
            </w:tcMar>
            <w:vAlign w:val="center"/>
          </w:tcPr>
          <w:p w14:paraId="1CFA199A" w14:textId="77777777" w:rsidR="00872D73" w:rsidRDefault="00000000">
            <w:r>
              <w:t>Confidence-scored IP↔submarine-cable mapping</w:t>
            </w:r>
          </w:p>
        </w:tc>
        <w:tc>
          <w:tcPr>
            <w:tcW w:w="2232" w:type="dxa"/>
            <w:tcMar>
              <w:top w:w="70" w:type="dxa"/>
              <w:left w:w="70" w:type="dxa"/>
              <w:bottom w:w="70" w:type="dxa"/>
              <w:right w:w="70" w:type="dxa"/>
            </w:tcMar>
            <w:vAlign w:val="center"/>
          </w:tcPr>
          <w:p w14:paraId="41B4F61F" w14:textId="77777777" w:rsidR="00872D73" w:rsidRDefault="00000000">
            <w:r>
              <w:t>Cross-layer mapping input</w:t>
            </w:r>
          </w:p>
        </w:tc>
        <w:tc>
          <w:tcPr>
            <w:tcW w:w="2952" w:type="dxa"/>
            <w:tcMar>
              <w:top w:w="70" w:type="dxa"/>
              <w:left w:w="70" w:type="dxa"/>
              <w:bottom w:w="70" w:type="dxa"/>
              <w:right w:w="70" w:type="dxa"/>
            </w:tcMar>
            <w:vAlign w:val="center"/>
          </w:tcPr>
          <w:p w14:paraId="5652E08C" w14:textId="77777777" w:rsidR="00872D73" w:rsidRDefault="00000000">
            <w:r>
              <w:t>Not an event-based national comparison of control-plane and functional-service signals</w:t>
            </w:r>
          </w:p>
        </w:tc>
      </w:tr>
      <w:tr w:rsidR="00CB05B6" w:rsidRPr="00E0746E" w14:paraId="21CC46E4" w14:textId="77777777" w:rsidTr="00E0746E">
        <w:trPr>
          <w:cantSplit/>
          <w:jc w:val="center"/>
        </w:trPr>
        <w:tc>
          <w:tcPr>
            <w:tcW w:w="1699" w:type="dxa"/>
            <w:tcMar>
              <w:top w:w="70" w:type="dxa"/>
              <w:left w:w="70" w:type="dxa"/>
              <w:bottom w:w="70" w:type="dxa"/>
              <w:right w:w="70" w:type="dxa"/>
            </w:tcMar>
            <w:vAlign w:val="center"/>
          </w:tcPr>
          <w:p w14:paraId="132D5F43" w14:textId="77777777" w:rsidR="00872D73" w:rsidRDefault="00000000">
            <w:r>
              <w:t>Xaminer [4]</w:t>
            </w:r>
          </w:p>
        </w:tc>
        <w:tc>
          <w:tcPr>
            <w:tcW w:w="2333" w:type="dxa"/>
            <w:tcMar>
              <w:top w:w="70" w:type="dxa"/>
              <w:left w:w="70" w:type="dxa"/>
              <w:bottom w:w="70" w:type="dxa"/>
              <w:right w:w="70" w:type="dxa"/>
            </w:tcMar>
            <w:vAlign w:val="center"/>
          </w:tcPr>
          <w:p w14:paraId="4EAC466F" w14:textId="77777777" w:rsidR="00872D73" w:rsidRDefault="00000000">
            <w:r>
              <w:t>Cross-layer physical/network exposure and risk profiles</w:t>
            </w:r>
          </w:p>
        </w:tc>
        <w:tc>
          <w:tcPr>
            <w:tcW w:w="2232" w:type="dxa"/>
            <w:tcMar>
              <w:top w:w="70" w:type="dxa"/>
              <w:left w:w="70" w:type="dxa"/>
              <w:bottom w:w="70" w:type="dxa"/>
              <w:right w:w="70" w:type="dxa"/>
            </w:tcMar>
            <w:vAlign w:val="center"/>
          </w:tcPr>
          <w:p w14:paraId="4216F9E6" w14:textId="77777777" w:rsidR="00872D73" w:rsidRDefault="00000000">
            <w:r>
              <w:t>Physical↔network failure analysis</w:t>
            </w:r>
          </w:p>
        </w:tc>
        <w:tc>
          <w:tcPr>
            <w:tcW w:w="2952" w:type="dxa"/>
            <w:tcMar>
              <w:top w:w="70" w:type="dxa"/>
              <w:left w:w="70" w:type="dxa"/>
              <w:bottom w:w="70" w:type="dxa"/>
              <w:right w:w="70" w:type="dxa"/>
            </w:tcMar>
            <w:vAlign w:val="center"/>
          </w:tcPr>
          <w:p w14:paraId="067DC3C6" w14:textId="77777777" w:rsidR="00872D73" w:rsidRDefault="00000000">
            <w:r>
              <w:t>No Yemen event-based comparison of routing visibility and active reachability</w:t>
            </w:r>
          </w:p>
        </w:tc>
      </w:tr>
      <w:tr w:rsidR="00CB05B6" w:rsidRPr="00E0746E" w14:paraId="39F032B4" w14:textId="77777777" w:rsidTr="00E0746E">
        <w:trPr>
          <w:cantSplit/>
          <w:jc w:val="center"/>
        </w:trPr>
        <w:tc>
          <w:tcPr>
            <w:tcW w:w="1699" w:type="dxa"/>
            <w:tcMar>
              <w:top w:w="70" w:type="dxa"/>
              <w:left w:w="70" w:type="dxa"/>
              <w:bottom w:w="70" w:type="dxa"/>
              <w:right w:w="70" w:type="dxa"/>
            </w:tcMar>
            <w:vAlign w:val="center"/>
          </w:tcPr>
          <w:p w14:paraId="34C86901" w14:textId="77777777" w:rsidR="00872D73" w:rsidRDefault="00000000">
            <w:r>
              <w:t>Calypso [5]</w:t>
            </w:r>
          </w:p>
        </w:tc>
        <w:tc>
          <w:tcPr>
            <w:tcW w:w="2333" w:type="dxa"/>
            <w:tcMar>
              <w:top w:w="70" w:type="dxa"/>
              <w:left w:w="70" w:type="dxa"/>
              <w:bottom w:w="70" w:type="dxa"/>
              <w:right w:w="70" w:type="dxa"/>
            </w:tcMar>
            <w:vAlign w:val="center"/>
          </w:tcPr>
          <w:p w14:paraId="07710C7B" w14:textId="77777777" w:rsidR="00872D73" w:rsidRDefault="00000000">
            <w:r>
              <w:t>Traceroute-based digital-route↔cable mapping</w:t>
            </w:r>
          </w:p>
        </w:tc>
        <w:tc>
          <w:tcPr>
            <w:tcW w:w="2232" w:type="dxa"/>
            <w:tcMar>
              <w:top w:w="70" w:type="dxa"/>
              <w:left w:w="70" w:type="dxa"/>
              <w:bottom w:w="70" w:type="dxa"/>
              <w:right w:w="70" w:type="dxa"/>
            </w:tcMar>
            <w:vAlign w:val="center"/>
          </w:tcPr>
          <w:p w14:paraId="16F8783E" w14:textId="77777777" w:rsidR="00872D73" w:rsidRDefault="00000000">
            <w:r>
              <w:t>Mapping/validation evidence</w:t>
            </w:r>
          </w:p>
        </w:tc>
        <w:tc>
          <w:tcPr>
            <w:tcW w:w="2952" w:type="dxa"/>
            <w:tcMar>
              <w:top w:w="70" w:type="dxa"/>
              <w:left w:w="70" w:type="dxa"/>
              <w:bottom w:w="70" w:type="dxa"/>
              <w:right w:w="70" w:type="dxa"/>
            </w:tcMar>
            <w:vAlign w:val="center"/>
          </w:tcPr>
          <w:p w14:paraId="5529A6C8" w14:textId="77777777" w:rsidR="00872D73" w:rsidRDefault="00000000">
            <w:r>
              <w:t>Not a cross-event, measurement-family-specific national resilience analysis</w:t>
            </w:r>
          </w:p>
        </w:tc>
      </w:tr>
      <w:tr w:rsidR="00CB05B6" w:rsidRPr="00E0746E" w14:paraId="66EAE7EB" w14:textId="77777777" w:rsidTr="00E0746E">
        <w:trPr>
          <w:cantSplit/>
          <w:jc w:val="center"/>
        </w:trPr>
        <w:tc>
          <w:tcPr>
            <w:tcW w:w="1699" w:type="dxa"/>
            <w:tcMar>
              <w:top w:w="70" w:type="dxa"/>
              <w:left w:w="70" w:type="dxa"/>
              <w:bottom w:w="70" w:type="dxa"/>
              <w:right w:w="70" w:type="dxa"/>
            </w:tcMar>
            <w:vAlign w:val="center"/>
          </w:tcPr>
          <w:p w14:paraId="4ED5FA62" w14:textId="77777777" w:rsidR="00872D73" w:rsidRDefault="00000000">
            <w:r>
              <w:lastRenderedPageBreak/>
              <w:t>Lang et al. [6]</w:t>
            </w:r>
          </w:p>
        </w:tc>
        <w:tc>
          <w:tcPr>
            <w:tcW w:w="2333" w:type="dxa"/>
            <w:tcMar>
              <w:top w:w="70" w:type="dxa"/>
              <w:left w:w="70" w:type="dxa"/>
              <w:bottom w:w="70" w:type="dxa"/>
              <w:right w:w="70" w:type="dxa"/>
            </w:tcMar>
            <w:vAlign w:val="center"/>
          </w:tcPr>
          <w:p w14:paraId="01F35706" w14:textId="77777777" w:rsidR="00872D73" w:rsidRDefault="00000000">
            <w:r>
              <w:t>ISP/IXP multilayer model + SRLG robustness</w:t>
            </w:r>
          </w:p>
        </w:tc>
        <w:tc>
          <w:tcPr>
            <w:tcW w:w="2232" w:type="dxa"/>
            <w:tcMar>
              <w:top w:w="70" w:type="dxa"/>
              <w:left w:w="70" w:type="dxa"/>
              <w:bottom w:w="70" w:type="dxa"/>
              <w:right w:w="70" w:type="dxa"/>
            </w:tcMar>
            <w:vAlign w:val="center"/>
          </w:tcPr>
          <w:p w14:paraId="6F5E375A" w14:textId="77777777" w:rsidR="00872D73" w:rsidRDefault="00000000">
            <w:r>
              <w:t>Multilayer/shared physical risk</w:t>
            </w:r>
          </w:p>
        </w:tc>
        <w:tc>
          <w:tcPr>
            <w:tcW w:w="2952" w:type="dxa"/>
            <w:tcMar>
              <w:top w:w="70" w:type="dxa"/>
              <w:left w:w="70" w:type="dxa"/>
              <w:bottom w:w="70" w:type="dxa"/>
              <w:right w:w="70" w:type="dxa"/>
            </w:tcMar>
            <w:vAlign w:val="center"/>
          </w:tcPr>
          <w:p w14:paraId="0C7E5E0E" w14:textId="77777777" w:rsidR="00872D73" w:rsidRDefault="00000000">
            <w:r>
              <w:t>Static connectivity robustness; not this event-specific multi-signal divergence analysis</w:t>
            </w:r>
          </w:p>
        </w:tc>
      </w:tr>
      <w:tr w:rsidR="00CB05B6" w:rsidRPr="00E0746E" w14:paraId="7427279A" w14:textId="77777777" w:rsidTr="00E0746E">
        <w:trPr>
          <w:cantSplit/>
          <w:jc w:val="center"/>
        </w:trPr>
        <w:tc>
          <w:tcPr>
            <w:tcW w:w="1699" w:type="dxa"/>
            <w:tcMar>
              <w:top w:w="70" w:type="dxa"/>
              <w:left w:w="70" w:type="dxa"/>
              <w:bottom w:w="70" w:type="dxa"/>
              <w:right w:w="70" w:type="dxa"/>
            </w:tcMar>
            <w:vAlign w:val="center"/>
          </w:tcPr>
          <w:p w14:paraId="5CD02259" w14:textId="77777777" w:rsidR="00872D73" w:rsidRDefault="00000000">
            <w:r>
              <w:t>Wu &amp; Neumueller [7]</w:t>
            </w:r>
          </w:p>
        </w:tc>
        <w:tc>
          <w:tcPr>
            <w:tcW w:w="2333" w:type="dxa"/>
            <w:tcMar>
              <w:top w:w="70" w:type="dxa"/>
              <w:left w:w="70" w:type="dxa"/>
              <w:bottom w:w="70" w:type="dxa"/>
              <w:right w:w="70" w:type="dxa"/>
            </w:tcMar>
            <w:vAlign w:val="center"/>
          </w:tcPr>
          <w:p w14:paraId="37C29377" w14:textId="77777777" w:rsidR="00872D73" w:rsidRDefault="00000000">
            <w:r>
              <w:t>Multiplex physical/overlay cascade + historical cable faults</w:t>
            </w:r>
          </w:p>
        </w:tc>
        <w:tc>
          <w:tcPr>
            <w:tcW w:w="2232" w:type="dxa"/>
            <w:tcMar>
              <w:top w:w="70" w:type="dxa"/>
              <w:left w:w="70" w:type="dxa"/>
              <w:bottom w:w="70" w:type="dxa"/>
              <w:right w:w="70" w:type="dxa"/>
            </w:tcMar>
            <w:vAlign w:val="center"/>
          </w:tcPr>
          <w:p w14:paraId="3E9FFB9F" w14:textId="77777777" w:rsidR="00872D73" w:rsidRDefault="00000000">
            <w:r>
              <w:t>Cascading infrastructure coupling</w:t>
            </w:r>
          </w:p>
        </w:tc>
        <w:tc>
          <w:tcPr>
            <w:tcW w:w="2952" w:type="dxa"/>
            <w:tcMar>
              <w:top w:w="70" w:type="dxa"/>
              <w:left w:w="70" w:type="dxa"/>
              <w:bottom w:w="70" w:type="dxa"/>
              <w:right w:w="70" w:type="dxa"/>
            </w:tcMar>
            <w:vAlign w:val="center"/>
          </w:tcPr>
          <w:p w14:paraId="1A84CFDE" w14:textId="77777777" w:rsidR="00872D73" w:rsidRDefault="00000000">
            <w:r>
              <w:t>Different overlay/system objective; no national event-based structural-functional signal comparison</w:t>
            </w:r>
          </w:p>
        </w:tc>
      </w:tr>
      <w:tr w:rsidR="00CB05B6" w:rsidRPr="00E0746E" w14:paraId="519074BB" w14:textId="77777777" w:rsidTr="00E0746E">
        <w:trPr>
          <w:cantSplit/>
          <w:jc w:val="center"/>
        </w:trPr>
        <w:tc>
          <w:tcPr>
            <w:tcW w:w="1699" w:type="dxa"/>
            <w:tcMar>
              <w:top w:w="70" w:type="dxa"/>
              <w:left w:w="70" w:type="dxa"/>
              <w:bottom w:w="70" w:type="dxa"/>
              <w:right w:w="70" w:type="dxa"/>
            </w:tcMar>
            <w:vAlign w:val="center"/>
          </w:tcPr>
          <w:p w14:paraId="1D272261" w14:textId="77777777" w:rsidR="00872D73" w:rsidRDefault="00000000">
            <w:r>
              <w:t>Dainotti et al. [8]</w:t>
            </w:r>
          </w:p>
        </w:tc>
        <w:tc>
          <w:tcPr>
            <w:tcW w:w="2333" w:type="dxa"/>
            <w:tcMar>
              <w:top w:w="70" w:type="dxa"/>
              <w:left w:w="70" w:type="dxa"/>
              <w:bottom w:w="70" w:type="dxa"/>
              <w:right w:w="70" w:type="dxa"/>
            </w:tcMar>
            <w:vAlign w:val="center"/>
          </w:tcPr>
          <w:p w14:paraId="015E9837" w14:textId="77777777" w:rsidR="00872D73" w:rsidRDefault="00000000">
            <w:r>
              <w:t>Multi-source BGP and data-plane outage characterization</w:t>
            </w:r>
          </w:p>
        </w:tc>
        <w:tc>
          <w:tcPr>
            <w:tcW w:w="2232" w:type="dxa"/>
            <w:tcMar>
              <w:top w:w="70" w:type="dxa"/>
              <w:left w:w="70" w:type="dxa"/>
              <w:bottom w:w="70" w:type="dxa"/>
              <w:right w:w="70" w:type="dxa"/>
            </w:tcMar>
            <w:vAlign w:val="center"/>
          </w:tcPr>
          <w:p w14:paraId="25023991" w14:textId="77777777" w:rsidR="00872D73" w:rsidRDefault="00000000">
            <w:r>
              <w:t>Establishes need for cross-signal outage measurement</w:t>
            </w:r>
          </w:p>
        </w:tc>
        <w:tc>
          <w:tcPr>
            <w:tcW w:w="2952" w:type="dxa"/>
            <w:tcMar>
              <w:top w:w="70" w:type="dxa"/>
              <w:left w:w="70" w:type="dxa"/>
              <w:bottom w:w="70" w:type="dxa"/>
              <w:right w:w="70" w:type="dxa"/>
            </w:tcMar>
            <w:vAlign w:val="center"/>
          </w:tcPr>
          <w:p w14:paraId="6167435F" w14:textId="77777777" w:rsidR="00872D73" w:rsidRDefault="00000000">
            <w:r>
              <w:t>Not a submarine-cable-anchored Yemen critical-infrastructure case</w:t>
            </w:r>
          </w:p>
        </w:tc>
      </w:tr>
      <w:tr w:rsidR="00CB05B6" w:rsidRPr="00E0746E" w14:paraId="75939BEC" w14:textId="77777777" w:rsidTr="00E0746E">
        <w:trPr>
          <w:cantSplit/>
          <w:jc w:val="center"/>
        </w:trPr>
        <w:tc>
          <w:tcPr>
            <w:tcW w:w="2484" w:type="dxa"/>
            <w:tcMar>
              <w:top w:w="70" w:type="dxa"/>
              <w:left w:w="70" w:type="dxa"/>
              <w:bottom w:w="70" w:type="dxa"/>
              <w:right w:w="70" w:type="dxa"/>
            </w:tcMar>
            <w:vAlign w:val="center"/>
          </w:tcPr>
          <w:p w14:paraId="2DDB0A98" w14:textId="77777777" w:rsidR="00872D73" w:rsidRDefault="00000000">
            <w:r>
              <w:t>Jahromi &amp; Jaskolka [9]</w:t>
            </w:r>
          </w:p>
        </w:tc>
        <w:tc>
          <w:tcPr>
            <w:tcW w:w="2484" w:type="dxa"/>
            <w:tcMar>
              <w:top w:w="70" w:type="dxa"/>
              <w:left w:w="70" w:type="dxa"/>
              <w:bottom w:w="70" w:type="dxa"/>
              <w:right w:w="70" w:type="dxa"/>
            </w:tcMar>
            <w:vAlign w:val="center"/>
          </w:tcPr>
          <w:p w14:paraId="473228D5" w14:textId="77777777" w:rsidR="00872D73" w:rsidRDefault="00000000">
            <w:r>
              <w:t>BGP + active reachability/passive scans during Iran shutdowns; control/forwarding-plane decoupling</w:t>
            </w:r>
          </w:p>
        </w:tc>
        <w:tc>
          <w:tcPr>
            <w:tcW w:w="2484" w:type="dxa"/>
            <w:tcMar>
              <w:top w:w="70" w:type="dxa"/>
              <w:left w:w="70" w:type="dxa"/>
              <w:bottom w:w="70" w:type="dxa"/>
              <w:right w:w="70" w:type="dxa"/>
            </w:tcMar>
            <w:vAlign w:val="center"/>
          </w:tcPr>
          <w:p w14:paraId="6A555562" w14:textId="77777777" w:rsidR="00872D73" w:rsidRDefault="00000000">
            <w:r>
              <w:t>Direct conceptual overlap with structural-functional divergence</w:t>
            </w:r>
          </w:p>
        </w:tc>
        <w:tc>
          <w:tcPr>
            <w:tcW w:w="2484" w:type="dxa"/>
            <w:tcMar>
              <w:top w:w="70" w:type="dxa"/>
              <w:left w:w="70" w:type="dxa"/>
              <w:bottom w:w="70" w:type="dxa"/>
              <w:right w:w="70" w:type="dxa"/>
            </w:tcMar>
            <w:vAlign w:val="center"/>
          </w:tcPr>
          <w:p w14:paraId="66B980EB" w14:textId="77777777" w:rsidR="00872D73" w:rsidRDefault="00000000">
            <w:r>
              <w:t>Administrative forwarding-plane shutdown mechanism rather than a physically anchored submarine-cable failure; different dependency objective</w:t>
            </w:r>
          </w:p>
        </w:tc>
      </w:tr>
      <w:tr w:rsidR="00CB05B6" w:rsidRPr="00E0746E" w14:paraId="72BCBBE5" w14:textId="77777777" w:rsidTr="00E0746E">
        <w:trPr>
          <w:cantSplit/>
          <w:jc w:val="center"/>
        </w:trPr>
        <w:tc>
          <w:tcPr>
            <w:tcW w:w="2484" w:type="dxa"/>
            <w:tcMar>
              <w:top w:w="70" w:type="dxa"/>
              <w:left w:w="70" w:type="dxa"/>
              <w:bottom w:w="70" w:type="dxa"/>
              <w:right w:w="70" w:type="dxa"/>
            </w:tcMar>
            <w:vAlign w:val="center"/>
          </w:tcPr>
          <w:p w14:paraId="3AD1A3CC" w14:textId="77777777" w:rsidR="00872D73" w:rsidRDefault="00000000">
            <w:r>
              <w:t>Present study</w:t>
            </w:r>
          </w:p>
        </w:tc>
        <w:tc>
          <w:tcPr>
            <w:tcW w:w="2484" w:type="dxa"/>
            <w:tcMar>
              <w:top w:w="70" w:type="dxa"/>
              <w:left w:w="70" w:type="dxa"/>
              <w:bottom w:w="70" w:type="dxa"/>
              <w:right w:w="70" w:type="dxa"/>
            </w:tcMar>
            <w:vAlign w:val="center"/>
          </w:tcPr>
          <w:p w14:paraId="178594B7" w14:textId="77777777" w:rsidR="00872D73" w:rsidRDefault="00000000">
            <w:r>
              <w:t>Event-based measurement-family separation, raster-sensitivity testing, and dependency interpretation</w:t>
            </w:r>
          </w:p>
        </w:tc>
        <w:tc>
          <w:tcPr>
            <w:tcW w:w="2484" w:type="dxa"/>
            <w:tcMar>
              <w:top w:w="70" w:type="dxa"/>
              <w:left w:w="70" w:type="dxa"/>
              <w:bottom w:w="70" w:type="dxa"/>
              <w:right w:w="70" w:type="dxa"/>
            </w:tcMar>
            <w:vAlign w:val="center"/>
          </w:tcPr>
          <w:p w14:paraId="7AA6EE85" w14:textId="77777777" w:rsidR="00872D73" w:rsidRDefault="00000000">
            <w:r>
              <w:t>Uses cross-layer architecture as context, not novelty by itself</w:t>
            </w:r>
          </w:p>
        </w:tc>
        <w:tc>
          <w:tcPr>
            <w:tcW w:w="2484" w:type="dxa"/>
            <w:tcMar>
              <w:top w:w="70" w:type="dxa"/>
              <w:left w:w="70" w:type="dxa"/>
              <w:bottom w:w="70" w:type="dxa"/>
              <w:right w:w="70" w:type="dxa"/>
            </w:tcMar>
            <w:vAlign w:val="center"/>
          </w:tcPr>
          <w:p w14:paraId="71194D70" w14:textId="77777777" w:rsidR="00872D73" w:rsidRDefault="00000000">
            <w:r>
              <w:t>Physically anchored structural-functional divergence, event-context transferability, and frozen present-day origin-dependence context; route-level multilayer execution withheld</w:t>
            </w:r>
          </w:p>
        </w:tc>
      </w:tr>
    </w:tbl>
    <w:p w14:paraId="4D8123E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3. Study Context and Scope</w:t>
      </w:r>
    </w:p>
    <w:p w14:paraId="6E4BE594" w14:textId="77777777" w:rsidR="00CB05B6" w:rsidRPr="00E0746E" w:rsidRDefault="00000000">
      <w:pPr>
        <w:spacing w:line="259" w:lineRule="auto"/>
        <w:rPr>
          <w:rFonts w:asciiTheme="majorBidi" w:hAnsiTheme="majorBidi" w:cstheme="majorBidi"/>
        </w:rPr>
      </w:pPr>
      <w:r>
        <w:t>The empirical setting comprises Yemen's international connectivity through the Red Sea and adjacent routes, observable international transit relationships, national AS/prefix resources, and public functional-connectivity evidence. The study intentionally excludes proprietary traffic matrices, operator-internal router topology, precise sensitive infrastructure coordinates, and unverified capacity values. Evidence is classified as OBSERVED, INFERRED, DERIVED, or SIMULATED. The three-layer dependency model is used as an organizing architecture; because route-level historical reconstruction is not yet validated, the paper does not claim a fully instantiated event-time supra-adjacency network or topology-wide cascade effect sizes. Table 2 summarizes the operational definitions and evidence classes used in the organizing architecture.</w:t>
      </w:r>
    </w:p>
    <w:p w14:paraId="70B35E97" w14:textId="77777777" w:rsidR="00872D73" w:rsidRDefault="00000000">
      <w:pPr>
        <w:pStyle w:val="af0"/>
      </w:pPr>
      <w:r>
        <w:t>Table 2 Operational definitions and evidence classes for the dependency architecture</w:t>
      </w:r>
    </w:p>
    <w:tbl>
      <w:tblPr>
        <w:tblStyle w:val="afa"/>
        <w:tblW w:w="0" w:type="auto"/>
        <w:jc w:val="center"/>
        <w:tblLook w:val="04A0" w:firstRow="1" w:lastRow="0" w:firstColumn="1" w:lastColumn="0" w:noHBand="0" w:noVBand="1"/>
      </w:tblPr>
      <w:tblGrid>
        <w:gridCol w:w="3251"/>
        <w:gridCol w:w="3264"/>
        <w:gridCol w:w="3267"/>
      </w:tblGrid>
      <w:tr w:rsidR="00CB05B6" w:rsidRPr="00E0746E" w14:paraId="3CB5749E"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2C40C290" w14:textId="77777777" w:rsidR="00872D73" w:rsidRDefault="00000000">
            <w:r>
              <w:rPr>
                <w:b/>
              </w:rPr>
              <w:t>Element</w:t>
            </w:r>
          </w:p>
        </w:tc>
        <w:tc>
          <w:tcPr>
            <w:tcW w:w="3312" w:type="dxa"/>
            <w:shd w:val="clear" w:color="auto" w:fill="E7E6E6"/>
            <w:tcMar>
              <w:top w:w="70" w:type="dxa"/>
              <w:left w:w="70" w:type="dxa"/>
              <w:bottom w:w="70" w:type="dxa"/>
              <w:right w:w="70" w:type="dxa"/>
            </w:tcMar>
            <w:vAlign w:val="center"/>
          </w:tcPr>
          <w:p w14:paraId="4B74E3F5" w14:textId="77777777" w:rsidR="00872D73" w:rsidRDefault="00000000">
            <w:r>
              <w:rPr>
                <w:b/>
              </w:rPr>
              <w:t>Operational definition</w:t>
            </w:r>
          </w:p>
        </w:tc>
        <w:tc>
          <w:tcPr>
            <w:tcW w:w="3312" w:type="dxa"/>
            <w:shd w:val="clear" w:color="auto" w:fill="E7E6E6"/>
            <w:tcMar>
              <w:top w:w="70" w:type="dxa"/>
              <w:left w:w="70" w:type="dxa"/>
              <w:bottom w:w="70" w:type="dxa"/>
              <w:right w:w="70" w:type="dxa"/>
            </w:tcMar>
            <w:vAlign w:val="center"/>
          </w:tcPr>
          <w:p w14:paraId="5E59F915" w14:textId="77777777" w:rsidR="00872D73" w:rsidRDefault="00000000">
            <w:r>
              <w:rPr>
                <w:b/>
              </w:rPr>
              <w:t>Evidence class</w:t>
            </w:r>
          </w:p>
        </w:tc>
      </w:tr>
      <w:tr w:rsidR="00CB05B6" w:rsidRPr="00E0746E" w14:paraId="4A965B67" w14:textId="77777777" w:rsidTr="00E0746E">
        <w:trPr>
          <w:cantSplit/>
          <w:jc w:val="center"/>
        </w:trPr>
        <w:tc>
          <w:tcPr>
            <w:tcW w:w="3312" w:type="dxa"/>
            <w:tcMar>
              <w:top w:w="70" w:type="dxa"/>
              <w:left w:w="70" w:type="dxa"/>
              <w:bottom w:w="70" w:type="dxa"/>
              <w:right w:w="70" w:type="dxa"/>
            </w:tcMar>
            <w:vAlign w:val="center"/>
          </w:tcPr>
          <w:p w14:paraId="1847B102" w14:textId="77777777" w:rsidR="00872D73" w:rsidRDefault="00000000">
            <w:r>
              <w:t>Physical submarine layer</w:t>
            </w:r>
          </w:p>
        </w:tc>
        <w:tc>
          <w:tcPr>
            <w:tcW w:w="3312" w:type="dxa"/>
            <w:tcMar>
              <w:top w:w="70" w:type="dxa"/>
              <w:left w:w="70" w:type="dxa"/>
              <w:bottom w:w="70" w:type="dxa"/>
              <w:right w:w="70" w:type="dxa"/>
            </w:tcMar>
            <w:vAlign w:val="center"/>
          </w:tcPr>
          <w:p w14:paraId="115E6AE1" w14:textId="77777777" w:rsidR="00872D73" w:rsidRDefault="00000000">
            <w:r>
              <w:t>Cable systems, landing dependencies, cable–landing relationships</w:t>
            </w:r>
          </w:p>
        </w:tc>
        <w:tc>
          <w:tcPr>
            <w:tcW w:w="3312" w:type="dxa"/>
            <w:tcMar>
              <w:top w:w="70" w:type="dxa"/>
              <w:left w:w="70" w:type="dxa"/>
              <w:bottom w:w="70" w:type="dxa"/>
              <w:right w:w="70" w:type="dxa"/>
            </w:tcMar>
            <w:vAlign w:val="center"/>
          </w:tcPr>
          <w:p w14:paraId="6E36E259" w14:textId="77777777" w:rsidR="00872D73" w:rsidRDefault="00000000">
            <w:r>
              <w:t>Public/authoritative or confidence-aware inferred</w:t>
            </w:r>
          </w:p>
        </w:tc>
      </w:tr>
      <w:tr w:rsidR="00CB05B6" w:rsidRPr="00E0746E" w14:paraId="702C5FB0" w14:textId="77777777" w:rsidTr="00E0746E">
        <w:trPr>
          <w:cantSplit/>
          <w:jc w:val="center"/>
        </w:trPr>
        <w:tc>
          <w:tcPr>
            <w:tcW w:w="3312" w:type="dxa"/>
            <w:tcMar>
              <w:top w:w="70" w:type="dxa"/>
              <w:left w:w="70" w:type="dxa"/>
              <w:bottom w:w="70" w:type="dxa"/>
              <w:right w:w="70" w:type="dxa"/>
            </w:tcMar>
            <w:vAlign w:val="center"/>
          </w:tcPr>
          <w:p w14:paraId="053D6DFD" w14:textId="77777777" w:rsidR="00872D73" w:rsidRDefault="00000000">
            <w:r>
              <w:lastRenderedPageBreak/>
              <w:t>International routing layer</w:t>
            </w:r>
          </w:p>
        </w:tc>
        <w:tc>
          <w:tcPr>
            <w:tcW w:w="3312" w:type="dxa"/>
            <w:tcMar>
              <w:top w:w="70" w:type="dxa"/>
              <w:left w:w="70" w:type="dxa"/>
              <w:bottom w:w="70" w:type="dxa"/>
              <w:right w:w="70" w:type="dxa"/>
            </w:tcMar>
            <w:vAlign w:val="center"/>
          </w:tcPr>
          <w:p w14:paraId="20B14825" w14:textId="77777777" w:rsidR="00872D73" w:rsidRDefault="00000000">
            <w:r>
              <w:t>Upstream/transit ASes and observed BGP paths connecting Yemen externally</w:t>
            </w:r>
          </w:p>
        </w:tc>
        <w:tc>
          <w:tcPr>
            <w:tcW w:w="3312" w:type="dxa"/>
            <w:tcMar>
              <w:top w:w="70" w:type="dxa"/>
              <w:left w:w="70" w:type="dxa"/>
              <w:bottom w:w="70" w:type="dxa"/>
              <w:right w:w="70" w:type="dxa"/>
            </w:tcMar>
            <w:vAlign w:val="center"/>
          </w:tcPr>
          <w:p w14:paraId="4C2986FC" w14:textId="77777777" w:rsidR="00872D73" w:rsidRDefault="00000000">
            <w:r>
              <w:t>Observed/inferred from RIS, RouteViews, CAIDA</w:t>
            </w:r>
          </w:p>
        </w:tc>
      </w:tr>
      <w:tr w:rsidR="00CB05B6" w:rsidRPr="00E0746E" w14:paraId="5F3FF648" w14:textId="77777777" w:rsidTr="00E0746E">
        <w:trPr>
          <w:cantSplit/>
          <w:jc w:val="center"/>
        </w:trPr>
        <w:tc>
          <w:tcPr>
            <w:tcW w:w="3312" w:type="dxa"/>
            <w:tcMar>
              <w:top w:w="70" w:type="dxa"/>
              <w:left w:w="70" w:type="dxa"/>
              <w:bottom w:w="70" w:type="dxa"/>
              <w:right w:w="70" w:type="dxa"/>
            </w:tcMar>
            <w:vAlign w:val="center"/>
          </w:tcPr>
          <w:p w14:paraId="715FE396" w14:textId="77777777" w:rsidR="00872D73" w:rsidRDefault="00000000">
            <w:r>
              <w:t>National logical layer</w:t>
            </w:r>
          </w:p>
        </w:tc>
        <w:tc>
          <w:tcPr>
            <w:tcW w:w="3312" w:type="dxa"/>
            <w:tcMar>
              <w:top w:w="70" w:type="dxa"/>
              <w:left w:w="70" w:type="dxa"/>
              <w:bottom w:w="70" w:type="dxa"/>
              <w:right w:w="70" w:type="dxa"/>
            </w:tcMar>
            <w:vAlign w:val="center"/>
          </w:tcPr>
          <w:p w14:paraId="06AAED0E" w14:textId="77777777" w:rsidR="00872D73" w:rsidRDefault="00000000">
            <w:r>
              <w:t>Yemeni ASes, originated prefixes, provider/peer dependencies, resource–origin relationships</w:t>
            </w:r>
          </w:p>
        </w:tc>
        <w:tc>
          <w:tcPr>
            <w:tcW w:w="3312" w:type="dxa"/>
            <w:tcMar>
              <w:top w:w="70" w:type="dxa"/>
              <w:left w:w="70" w:type="dxa"/>
              <w:bottom w:w="70" w:type="dxa"/>
              <w:right w:w="70" w:type="dxa"/>
            </w:tcMar>
            <w:vAlign w:val="center"/>
          </w:tcPr>
          <w:p w14:paraId="6654D36D" w14:textId="77777777" w:rsidR="00872D73" w:rsidRDefault="00000000">
            <w:r>
              <w:t>Observed/inferred</w:t>
            </w:r>
          </w:p>
        </w:tc>
      </w:tr>
      <w:tr w:rsidR="00CB05B6" w:rsidRPr="00E0746E" w14:paraId="19BEFBF6" w14:textId="77777777" w:rsidTr="00E0746E">
        <w:trPr>
          <w:cantSplit/>
          <w:jc w:val="center"/>
        </w:trPr>
        <w:tc>
          <w:tcPr>
            <w:tcW w:w="3312" w:type="dxa"/>
            <w:tcMar>
              <w:top w:w="70" w:type="dxa"/>
              <w:left w:w="70" w:type="dxa"/>
              <w:bottom w:w="70" w:type="dxa"/>
              <w:right w:w="70" w:type="dxa"/>
            </w:tcMar>
            <w:vAlign w:val="center"/>
          </w:tcPr>
          <w:p w14:paraId="33D80166" w14:textId="77777777" w:rsidR="00872D73" w:rsidRDefault="00000000">
            <w:r>
              <w:t>Functional measurement families</w:t>
            </w:r>
          </w:p>
        </w:tc>
        <w:tc>
          <w:tcPr>
            <w:tcW w:w="3312" w:type="dxa"/>
            <w:tcMar>
              <w:top w:w="70" w:type="dxa"/>
              <w:left w:w="70" w:type="dxa"/>
              <w:bottom w:w="70" w:type="dxa"/>
              <w:right w:w="70" w:type="dxa"/>
            </w:tcMar>
            <w:vAlign w:val="center"/>
          </w:tcPr>
          <w:p w14:paraId="00BA6659" w14:textId="77777777" w:rsidR="00872D73" w:rsidRDefault="00000000">
            <w:r>
              <w:t>Q_control(t), Q_active(t), Q_capacity(t), and Q_connectivity(t), normalized within source/family where defensible</w:t>
            </w:r>
          </w:p>
        </w:tc>
        <w:tc>
          <w:tcPr>
            <w:tcW w:w="3312" w:type="dxa"/>
            <w:tcMar>
              <w:top w:w="70" w:type="dxa"/>
              <w:left w:w="70" w:type="dxa"/>
              <w:bottom w:w="70" w:type="dxa"/>
              <w:right w:w="70" w:type="dxa"/>
            </w:tcMar>
            <w:vAlign w:val="center"/>
          </w:tcPr>
          <w:p w14:paraId="09F511F8" w14:textId="77777777" w:rsidR="00872D73" w:rsidRDefault="00000000">
            <w:r>
              <w:t>Observed or derived; not collapsed into one latent Q(t)</w:t>
            </w:r>
          </w:p>
        </w:tc>
      </w:tr>
    </w:tbl>
    <w:p w14:paraId="4ED4D96E" w14:textId="77777777" w:rsidR="00CB05B6" w:rsidRPr="00E0746E" w:rsidRDefault="00CB05B6">
      <w:pPr>
        <w:spacing w:line="259" w:lineRule="auto"/>
        <w:rPr>
          <w:rFonts w:asciiTheme="majorBidi" w:hAnsiTheme="majorBidi" w:cstheme="majorBidi"/>
        </w:rPr>
      </w:pPr>
    </w:p>
    <w:p w14:paraId="56A636FA"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4. Data Sources, Provenance, and Event Design</w:t>
      </w:r>
    </w:p>
    <w:p w14:paraId="4197E718" w14:textId="77777777" w:rsidR="00872D73" w:rsidRDefault="00000000">
      <w:pPr>
        <w:spacing w:line="259" w:lineRule="auto"/>
      </w:pPr>
      <w:r>
        <w:t>Table 3 summarizes the primary data sources, their analytical roles, and their principal limitations.</w:t>
      </w:r>
    </w:p>
    <w:p w14:paraId="7B894820" w14:textId="77777777" w:rsidR="00872D73" w:rsidRDefault="00000000">
      <w:pPr>
        <w:pStyle w:val="af0"/>
      </w:pPr>
      <w:r>
        <w:t>Table 3 Primary data sources, analytical uses, and key limitations</w:t>
      </w:r>
    </w:p>
    <w:tbl>
      <w:tblPr>
        <w:tblStyle w:val="afa"/>
        <w:tblW w:w="0" w:type="auto"/>
        <w:jc w:val="center"/>
        <w:tblLook w:val="04A0" w:firstRow="1" w:lastRow="0" w:firstColumn="1" w:lastColumn="0" w:noHBand="0" w:noVBand="1"/>
      </w:tblPr>
      <w:tblGrid>
        <w:gridCol w:w="3266"/>
        <w:gridCol w:w="3257"/>
        <w:gridCol w:w="3259"/>
      </w:tblGrid>
      <w:tr w:rsidR="00CB05B6" w:rsidRPr="00E0746E" w14:paraId="39CD9DE9"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5CA0ED9B" w14:textId="77777777" w:rsidR="00872D73" w:rsidRDefault="00000000">
            <w:r>
              <w:rPr>
                <w:b/>
              </w:rPr>
              <w:t>Source</w:t>
            </w:r>
          </w:p>
        </w:tc>
        <w:tc>
          <w:tcPr>
            <w:tcW w:w="3312" w:type="dxa"/>
            <w:shd w:val="clear" w:color="auto" w:fill="E7E6E6"/>
            <w:tcMar>
              <w:top w:w="70" w:type="dxa"/>
              <w:left w:w="70" w:type="dxa"/>
              <w:bottom w:w="70" w:type="dxa"/>
              <w:right w:w="70" w:type="dxa"/>
            </w:tcMar>
            <w:vAlign w:val="center"/>
          </w:tcPr>
          <w:p w14:paraId="24C8486C" w14:textId="77777777" w:rsidR="00872D73" w:rsidRDefault="00000000">
            <w:r>
              <w:rPr>
                <w:b/>
              </w:rPr>
              <w:t>Use</w:t>
            </w:r>
          </w:p>
        </w:tc>
        <w:tc>
          <w:tcPr>
            <w:tcW w:w="3312" w:type="dxa"/>
            <w:shd w:val="clear" w:color="auto" w:fill="E7E6E6"/>
            <w:tcMar>
              <w:top w:w="70" w:type="dxa"/>
              <w:left w:w="70" w:type="dxa"/>
              <w:bottom w:w="70" w:type="dxa"/>
              <w:right w:w="70" w:type="dxa"/>
            </w:tcMar>
            <w:vAlign w:val="center"/>
          </w:tcPr>
          <w:p w14:paraId="328F2D67" w14:textId="77777777" w:rsidR="00872D73" w:rsidRDefault="00000000">
            <w:r>
              <w:rPr>
                <w:b/>
              </w:rPr>
              <w:t>Key limitation</w:t>
            </w:r>
          </w:p>
        </w:tc>
      </w:tr>
      <w:tr w:rsidR="00CB05B6" w:rsidRPr="00E0746E" w14:paraId="264D892E" w14:textId="77777777" w:rsidTr="00E0746E">
        <w:trPr>
          <w:cantSplit/>
          <w:jc w:val="center"/>
        </w:trPr>
        <w:tc>
          <w:tcPr>
            <w:tcW w:w="3312" w:type="dxa"/>
            <w:tcMar>
              <w:top w:w="70" w:type="dxa"/>
              <w:left w:w="70" w:type="dxa"/>
              <w:bottom w:w="70" w:type="dxa"/>
              <w:right w:w="70" w:type="dxa"/>
            </w:tcMar>
            <w:vAlign w:val="center"/>
          </w:tcPr>
          <w:p w14:paraId="202FD727" w14:textId="77777777" w:rsidR="00872D73" w:rsidRDefault="00000000">
            <w:r>
              <w:t>RIPE Routing Information Service (RIPE RIS) / RIPEstat [25]</w:t>
            </w:r>
          </w:p>
        </w:tc>
        <w:tc>
          <w:tcPr>
            <w:tcW w:w="3312" w:type="dxa"/>
            <w:tcMar>
              <w:top w:w="70" w:type="dxa"/>
              <w:left w:w="70" w:type="dxa"/>
              <w:bottom w:w="70" w:type="dxa"/>
              <w:right w:w="70" w:type="dxa"/>
            </w:tcMar>
            <w:vAlign w:val="center"/>
          </w:tcPr>
          <w:p w14:paraId="665DAF09" w14:textId="77777777" w:rsidR="00872D73" w:rsidRDefault="00000000">
            <w:r>
              <w:t>Historical/current BGP state and updates</w:t>
            </w:r>
          </w:p>
        </w:tc>
        <w:tc>
          <w:tcPr>
            <w:tcW w:w="3312" w:type="dxa"/>
            <w:tcMar>
              <w:top w:w="70" w:type="dxa"/>
              <w:left w:w="70" w:type="dxa"/>
              <w:bottom w:w="70" w:type="dxa"/>
              <w:right w:w="70" w:type="dxa"/>
            </w:tcMar>
            <w:vAlign w:val="center"/>
          </w:tcPr>
          <w:p w14:paraId="3310CB21" w14:textId="77777777" w:rsidR="00872D73" w:rsidRDefault="00000000">
            <w:r>
              <w:t>Collector visibility; historical update access requires archive/BGPStream</w:t>
            </w:r>
          </w:p>
        </w:tc>
      </w:tr>
      <w:tr w:rsidR="00CB05B6" w:rsidRPr="00E0746E" w14:paraId="2B2B6FA9" w14:textId="77777777" w:rsidTr="00E0746E">
        <w:trPr>
          <w:cantSplit/>
          <w:jc w:val="center"/>
        </w:trPr>
        <w:tc>
          <w:tcPr>
            <w:tcW w:w="3312" w:type="dxa"/>
            <w:tcMar>
              <w:top w:w="70" w:type="dxa"/>
              <w:left w:w="70" w:type="dxa"/>
              <w:bottom w:w="70" w:type="dxa"/>
              <w:right w:w="70" w:type="dxa"/>
            </w:tcMar>
            <w:vAlign w:val="center"/>
          </w:tcPr>
          <w:p w14:paraId="07947B89" w14:textId="77777777" w:rsidR="00872D73" w:rsidRDefault="00000000">
            <w:r>
              <w:t>Center for Applied Internet Data Analysis (CAIDA) AS Relationships / BGPStream [26]</w:t>
            </w:r>
          </w:p>
        </w:tc>
        <w:tc>
          <w:tcPr>
            <w:tcW w:w="3312" w:type="dxa"/>
            <w:tcMar>
              <w:top w:w="70" w:type="dxa"/>
              <w:left w:w="70" w:type="dxa"/>
              <w:bottom w:w="70" w:type="dxa"/>
              <w:right w:w="70" w:type="dxa"/>
            </w:tcMar>
            <w:vAlign w:val="center"/>
          </w:tcPr>
          <w:p w14:paraId="6653F7BB" w14:textId="77777777" w:rsidR="00872D73" w:rsidRDefault="00000000">
            <w:r>
              <w:t>AS relationship inference and historical MRT processing</w:t>
            </w:r>
          </w:p>
        </w:tc>
        <w:tc>
          <w:tcPr>
            <w:tcW w:w="3312" w:type="dxa"/>
            <w:tcMar>
              <w:top w:w="70" w:type="dxa"/>
              <w:left w:w="70" w:type="dxa"/>
              <w:bottom w:w="70" w:type="dxa"/>
              <w:right w:w="70" w:type="dxa"/>
            </w:tcMar>
            <w:vAlign w:val="center"/>
          </w:tcPr>
          <w:p w14:paraId="3E53AD48" w14:textId="77777777" w:rsidR="00872D73" w:rsidRDefault="00000000">
            <w:r>
              <w:t>Relationships are inferred; not operator ground truth</w:t>
            </w:r>
          </w:p>
        </w:tc>
      </w:tr>
      <w:tr w:rsidR="00CB05B6" w:rsidRPr="00E0746E" w14:paraId="49AA3433" w14:textId="77777777" w:rsidTr="00E0746E">
        <w:trPr>
          <w:cantSplit/>
          <w:jc w:val="center"/>
        </w:trPr>
        <w:tc>
          <w:tcPr>
            <w:tcW w:w="3312" w:type="dxa"/>
            <w:tcMar>
              <w:top w:w="70" w:type="dxa"/>
              <w:left w:w="70" w:type="dxa"/>
              <w:bottom w:w="70" w:type="dxa"/>
              <w:right w:w="70" w:type="dxa"/>
            </w:tcMar>
            <w:vAlign w:val="center"/>
          </w:tcPr>
          <w:p w14:paraId="3C676B54" w14:textId="77777777" w:rsidR="00872D73" w:rsidRDefault="00000000">
            <w:r>
              <w:t>RIPE Atlas [27]</w:t>
            </w:r>
          </w:p>
        </w:tc>
        <w:tc>
          <w:tcPr>
            <w:tcW w:w="3312" w:type="dxa"/>
            <w:tcMar>
              <w:top w:w="70" w:type="dxa"/>
              <w:left w:w="70" w:type="dxa"/>
              <w:bottom w:w="70" w:type="dxa"/>
              <w:right w:w="70" w:type="dxa"/>
            </w:tcMar>
            <w:vAlign w:val="center"/>
          </w:tcPr>
          <w:p w14:paraId="668D538C" w14:textId="77777777" w:rsidR="00872D73" w:rsidRDefault="00000000">
            <w:r>
              <w:t>round-trip time (RTT), loss, traceroute, external-to-Yemen measurements</w:t>
            </w:r>
          </w:p>
        </w:tc>
        <w:tc>
          <w:tcPr>
            <w:tcW w:w="3312" w:type="dxa"/>
            <w:tcMar>
              <w:top w:w="70" w:type="dxa"/>
              <w:left w:w="70" w:type="dxa"/>
              <w:bottom w:w="70" w:type="dxa"/>
              <w:right w:w="70" w:type="dxa"/>
            </w:tcMar>
            <w:vAlign w:val="center"/>
          </w:tcPr>
          <w:p w14:paraId="56CB207D" w14:textId="77777777" w:rsidR="00872D73" w:rsidRDefault="00000000">
            <w:r>
              <w:t>In-country probe coverage may be sparse</w:t>
            </w:r>
          </w:p>
        </w:tc>
      </w:tr>
      <w:tr w:rsidR="00CB05B6" w:rsidRPr="00E0746E" w14:paraId="2AEAC0C9" w14:textId="77777777" w:rsidTr="00E0746E">
        <w:trPr>
          <w:cantSplit/>
          <w:jc w:val="center"/>
        </w:trPr>
        <w:tc>
          <w:tcPr>
            <w:tcW w:w="3312" w:type="dxa"/>
            <w:tcMar>
              <w:top w:w="70" w:type="dxa"/>
              <w:left w:w="70" w:type="dxa"/>
              <w:bottom w:w="70" w:type="dxa"/>
              <w:right w:w="70" w:type="dxa"/>
            </w:tcMar>
            <w:vAlign w:val="center"/>
          </w:tcPr>
          <w:p w14:paraId="21A16BBC" w14:textId="77777777" w:rsidR="00872D73" w:rsidRDefault="00000000">
            <w:r>
              <w:t>Internet Outage Detection and Analysis (IODA) [28]</w:t>
            </w:r>
          </w:p>
        </w:tc>
        <w:tc>
          <w:tcPr>
            <w:tcW w:w="3312" w:type="dxa"/>
            <w:tcMar>
              <w:top w:w="70" w:type="dxa"/>
              <w:left w:w="70" w:type="dxa"/>
              <w:bottom w:w="70" w:type="dxa"/>
              <w:right w:w="70" w:type="dxa"/>
            </w:tcMar>
            <w:vAlign w:val="center"/>
          </w:tcPr>
          <w:p w14:paraId="48AED1A8" w14:textId="77777777" w:rsidR="00872D73" w:rsidRDefault="00000000">
            <w:r>
              <w:t>AS/country BGP visibility and active-probing time-series evidence</w:t>
            </w:r>
          </w:p>
        </w:tc>
        <w:tc>
          <w:tcPr>
            <w:tcW w:w="3312" w:type="dxa"/>
            <w:tcMar>
              <w:top w:w="70" w:type="dxa"/>
              <w:left w:w="70" w:type="dxa"/>
              <w:bottom w:w="70" w:type="dxa"/>
              <w:right w:w="70" w:type="dxa"/>
            </w:tcMar>
            <w:vAlign w:val="center"/>
          </w:tcPr>
          <w:p w14:paraId="75ADE302" w14:textId="77777777" w:rsidR="00872D73" w:rsidRDefault="00000000">
            <w:r>
              <w:t>Signals measure different constructs; current manuscript uses plot digitization plus quantitative sensitivity analysis, while native API samples remain preferred.</w:t>
            </w:r>
          </w:p>
        </w:tc>
      </w:tr>
      <w:tr w:rsidR="00CB05B6" w:rsidRPr="00E0746E" w14:paraId="507C00B5" w14:textId="77777777" w:rsidTr="00E0746E">
        <w:trPr>
          <w:cantSplit/>
          <w:jc w:val="center"/>
        </w:trPr>
        <w:tc>
          <w:tcPr>
            <w:tcW w:w="3312" w:type="dxa"/>
            <w:tcMar>
              <w:top w:w="70" w:type="dxa"/>
              <w:left w:w="70" w:type="dxa"/>
              <w:bottom w:w="70" w:type="dxa"/>
              <w:right w:w="70" w:type="dxa"/>
            </w:tcMar>
            <w:vAlign w:val="center"/>
          </w:tcPr>
          <w:p w14:paraId="0AF298A5" w14:textId="77777777" w:rsidR="00872D73" w:rsidRDefault="00000000">
            <w:r>
              <w:t>Cloudflare Radar</w:t>
            </w:r>
          </w:p>
        </w:tc>
        <w:tc>
          <w:tcPr>
            <w:tcW w:w="3312" w:type="dxa"/>
            <w:tcMar>
              <w:top w:w="70" w:type="dxa"/>
              <w:left w:w="70" w:type="dxa"/>
              <w:bottom w:w="70" w:type="dxa"/>
              <w:right w:w="70" w:type="dxa"/>
            </w:tcMar>
            <w:vAlign w:val="center"/>
          </w:tcPr>
          <w:p w14:paraId="17D69935" w14:textId="77777777" w:rsidR="00872D73" w:rsidRDefault="00000000">
            <w:r>
              <w:t>Observed traffic/connectivity validation</w:t>
            </w:r>
          </w:p>
        </w:tc>
        <w:tc>
          <w:tcPr>
            <w:tcW w:w="3312" w:type="dxa"/>
            <w:tcMar>
              <w:top w:w="70" w:type="dxa"/>
              <w:left w:w="70" w:type="dxa"/>
              <w:bottom w:w="70" w:type="dxa"/>
              <w:right w:w="70" w:type="dxa"/>
            </w:tcMar>
            <w:vAlign w:val="center"/>
          </w:tcPr>
          <w:p w14:paraId="1EC040A0" w14:textId="77777777" w:rsidR="00872D73" w:rsidRDefault="00000000">
            <w:r>
              <w:t>Not topology ground truth</w:t>
            </w:r>
          </w:p>
        </w:tc>
      </w:tr>
      <w:tr w:rsidR="00CB05B6" w:rsidRPr="00E0746E" w14:paraId="3C90C685" w14:textId="77777777" w:rsidTr="00E0746E">
        <w:trPr>
          <w:cantSplit/>
          <w:jc w:val="center"/>
        </w:trPr>
        <w:tc>
          <w:tcPr>
            <w:tcW w:w="3312" w:type="dxa"/>
            <w:tcMar>
              <w:top w:w="70" w:type="dxa"/>
              <w:left w:w="70" w:type="dxa"/>
              <w:bottom w:w="70" w:type="dxa"/>
              <w:right w:w="70" w:type="dxa"/>
            </w:tcMar>
            <w:vAlign w:val="center"/>
          </w:tcPr>
          <w:p w14:paraId="4033FDA4" w14:textId="77777777" w:rsidR="00872D73" w:rsidRDefault="00000000">
            <w:r>
              <w:t>TeleGeography/public cable maps</w:t>
            </w:r>
          </w:p>
        </w:tc>
        <w:tc>
          <w:tcPr>
            <w:tcW w:w="3312" w:type="dxa"/>
            <w:tcMar>
              <w:top w:w="70" w:type="dxa"/>
              <w:left w:w="70" w:type="dxa"/>
              <w:bottom w:w="70" w:type="dxa"/>
              <w:right w:w="70" w:type="dxa"/>
            </w:tcMar>
            <w:vAlign w:val="center"/>
          </w:tcPr>
          <w:p w14:paraId="259646E9" w14:textId="77777777" w:rsidR="00872D73" w:rsidRDefault="00000000">
            <w:r>
              <w:t>Cable systems and landing context</w:t>
            </w:r>
          </w:p>
        </w:tc>
        <w:tc>
          <w:tcPr>
            <w:tcW w:w="3312" w:type="dxa"/>
            <w:tcMar>
              <w:top w:w="70" w:type="dxa"/>
              <w:left w:w="70" w:type="dxa"/>
              <w:bottom w:w="70" w:type="dxa"/>
              <w:right w:w="70" w:type="dxa"/>
            </w:tcMar>
            <w:vAlign w:val="center"/>
          </w:tcPr>
          <w:p w14:paraId="112B1351" w14:textId="77777777" w:rsidR="00872D73" w:rsidRDefault="00000000">
            <w:r>
              <w:t>Public routes are stylized; detailed data can be licensed</w:t>
            </w:r>
          </w:p>
        </w:tc>
      </w:tr>
      <w:tr w:rsidR="00CB05B6" w:rsidRPr="00E0746E" w14:paraId="218808CD" w14:textId="77777777" w:rsidTr="00E0746E">
        <w:trPr>
          <w:cantSplit/>
          <w:jc w:val="center"/>
        </w:trPr>
        <w:tc>
          <w:tcPr>
            <w:tcW w:w="3312" w:type="dxa"/>
            <w:tcMar>
              <w:top w:w="70" w:type="dxa"/>
              <w:left w:w="70" w:type="dxa"/>
              <w:bottom w:w="70" w:type="dxa"/>
              <w:right w:w="70" w:type="dxa"/>
            </w:tcMar>
            <w:vAlign w:val="center"/>
          </w:tcPr>
          <w:p w14:paraId="191CA9B8" w14:textId="77777777" w:rsidR="00872D73" w:rsidRDefault="00000000">
            <w:r>
              <w:t>World Bank / operator notices / event reports</w:t>
            </w:r>
          </w:p>
        </w:tc>
        <w:tc>
          <w:tcPr>
            <w:tcW w:w="3312" w:type="dxa"/>
            <w:tcMar>
              <w:top w:w="70" w:type="dxa"/>
              <w:left w:w="70" w:type="dxa"/>
              <w:bottom w:w="70" w:type="dxa"/>
              <w:right w:w="70" w:type="dxa"/>
            </w:tcMar>
            <w:vAlign w:val="center"/>
          </w:tcPr>
          <w:p w14:paraId="7BA7C3AB" w14:textId="77777777" w:rsidR="00872D73" w:rsidRDefault="00000000">
            <w:r>
              <w:t>Historical event severity, recovery, and causal anchors</w:t>
            </w:r>
          </w:p>
        </w:tc>
        <w:tc>
          <w:tcPr>
            <w:tcW w:w="3312" w:type="dxa"/>
            <w:tcMar>
              <w:top w:w="70" w:type="dxa"/>
              <w:left w:w="70" w:type="dxa"/>
              <w:bottom w:w="70" w:type="dxa"/>
              <w:right w:w="70" w:type="dxa"/>
            </w:tcMar>
            <w:vAlign w:val="center"/>
          </w:tcPr>
          <w:p w14:paraId="6E0A706D" w14:textId="77777777" w:rsidR="00872D73" w:rsidRDefault="00000000">
            <w:r>
              <w:t>Different sources measure different quantities</w:t>
            </w:r>
          </w:p>
        </w:tc>
      </w:tr>
    </w:tbl>
    <w:p w14:paraId="7AC6560B" w14:textId="77777777" w:rsidR="00CB05B6" w:rsidRPr="00E0746E" w:rsidRDefault="00CB05B6">
      <w:pPr>
        <w:spacing w:line="259" w:lineRule="auto"/>
        <w:rPr>
          <w:rFonts w:asciiTheme="majorBidi" w:hAnsiTheme="majorBidi" w:cstheme="majorBidi"/>
        </w:rPr>
      </w:pPr>
    </w:p>
    <w:p w14:paraId="25DFDF54"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4.1 Historical Event Hierarchy</w:t>
      </w:r>
    </w:p>
    <w:p w14:paraId="188772C2" w14:textId="77777777" w:rsidR="00872D73" w:rsidRDefault="00000000">
      <w:pPr>
        <w:spacing w:line="259" w:lineRule="auto"/>
      </w:pPr>
      <w:r>
        <w:t>Table 4 summarizes the historical events and their roles in the analysis.</w:t>
      </w:r>
    </w:p>
    <w:p w14:paraId="1F4A3CC4" w14:textId="77777777" w:rsidR="00872D73" w:rsidRDefault="00000000">
      <w:pPr>
        <w:pStyle w:val="af0"/>
      </w:pPr>
      <w:r>
        <w:t>Table 4 Historical event hierarchy and role in the analysis</w:t>
      </w:r>
    </w:p>
    <w:tbl>
      <w:tblPr>
        <w:tblStyle w:val="afa"/>
        <w:tblW w:w="0" w:type="auto"/>
        <w:jc w:val="center"/>
        <w:tblLook w:val="04A0" w:firstRow="1" w:lastRow="0" w:firstColumn="1" w:lastColumn="0" w:noHBand="0" w:noVBand="1"/>
      </w:tblPr>
      <w:tblGrid>
        <w:gridCol w:w="3257"/>
        <w:gridCol w:w="3260"/>
        <w:gridCol w:w="3265"/>
      </w:tblGrid>
      <w:tr w:rsidR="00CB05B6" w:rsidRPr="00E0746E" w14:paraId="4B207D00"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7E09FF32" w14:textId="77777777" w:rsidR="00872D73" w:rsidRDefault="00000000">
            <w:r>
              <w:rPr>
                <w:b/>
              </w:rPr>
              <w:t>Event</w:t>
            </w:r>
          </w:p>
        </w:tc>
        <w:tc>
          <w:tcPr>
            <w:tcW w:w="3312" w:type="dxa"/>
            <w:shd w:val="clear" w:color="auto" w:fill="E7E6E6"/>
            <w:tcMar>
              <w:top w:w="70" w:type="dxa"/>
              <w:left w:w="70" w:type="dxa"/>
              <w:bottom w:w="70" w:type="dxa"/>
              <w:right w:w="70" w:type="dxa"/>
            </w:tcMar>
            <w:vAlign w:val="center"/>
          </w:tcPr>
          <w:p w14:paraId="609012C1" w14:textId="77777777" w:rsidR="00872D73" w:rsidRDefault="00000000">
            <w:r>
              <w:rPr>
                <w:b/>
              </w:rPr>
              <w:t>Role</w:t>
            </w:r>
          </w:p>
        </w:tc>
        <w:tc>
          <w:tcPr>
            <w:tcW w:w="3312" w:type="dxa"/>
            <w:shd w:val="clear" w:color="auto" w:fill="E7E6E6"/>
            <w:tcMar>
              <w:top w:w="70" w:type="dxa"/>
              <w:left w:w="70" w:type="dxa"/>
              <w:bottom w:w="70" w:type="dxa"/>
              <w:right w:w="70" w:type="dxa"/>
            </w:tcMar>
            <w:vAlign w:val="center"/>
          </w:tcPr>
          <w:p w14:paraId="122C5E0B" w14:textId="77777777" w:rsidR="00872D73" w:rsidRDefault="00000000">
            <w:r>
              <w:rPr>
                <w:b/>
              </w:rPr>
              <w:t>Observed evidence used</w:t>
            </w:r>
          </w:p>
        </w:tc>
      </w:tr>
      <w:tr w:rsidR="00CB05B6" w:rsidRPr="00E0746E" w14:paraId="320A4C4F" w14:textId="77777777" w:rsidTr="00E0746E">
        <w:trPr>
          <w:cantSplit/>
          <w:jc w:val="center"/>
        </w:trPr>
        <w:tc>
          <w:tcPr>
            <w:tcW w:w="3312" w:type="dxa"/>
            <w:tcMar>
              <w:top w:w="70" w:type="dxa"/>
              <w:left w:w="70" w:type="dxa"/>
              <w:bottom w:w="70" w:type="dxa"/>
              <w:right w:w="70" w:type="dxa"/>
            </w:tcMar>
            <w:vAlign w:val="center"/>
          </w:tcPr>
          <w:p w14:paraId="38683AE6" w14:textId="77777777" w:rsidR="00872D73" w:rsidRDefault="00000000">
            <w:r>
              <w:t>9 Jan 2020 FALCON cut</w:t>
            </w:r>
          </w:p>
        </w:tc>
        <w:tc>
          <w:tcPr>
            <w:tcW w:w="3312" w:type="dxa"/>
            <w:tcMar>
              <w:top w:w="70" w:type="dxa"/>
              <w:left w:w="70" w:type="dxa"/>
              <w:bottom w:w="70" w:type="dxa"/>
              <w:right w:w="70" w:type="dxa"/>
            </w:tcMar>
            <w:vAlign w:val="center"/>
          </w:tcPr>
          <w:p w14:paraId="11A8517D" w14:textId="77777777" w:rsidR="00872D73" w:rsidRDefault="00000000">
            <w:r>
              <w:t>Primary empirical case</w:t>
            </w:r>
          </w:p>
        </w:tc>
        <w:tc>
          <w:tcPr>
            <w:tcW w:w="3312" w:type="dxa"/>
            <w:tcMar>
              <w:top w:w="70" w:type="dxa"/>
              <w:left w:w="70" w:type="dxa"/>
              <w:bottom w:w="70" w:type="dxa"/>
              <w:right w:w="70" w:type="dxa"/>
            </w:tcMar>
            <w:vAlign w:val="center"/>
          </w:tcPr>
          <w:p w14:paraId="014AEA47" w14:textId="77777777" w:rsidR="00872D73" w:rsidRDefault="00000000">
            <w:r>
              <w:t>~80% international capacity loss; 20-30% emergency service; AS15412 loss and failover reported [29,30]</w:t>
            </w:r>
          </w:p>
        </w:tc>
      </w:tr>
      <w:tr w:rsidR="00CB05B6" w:rsidRPr="00E0746E" w14:paraId="0C57767B" w14:textId="77777777" w:rsidTr="00E0746E">
        <w:trPr>
          <w:cantSplit/>
          <w:jc w:val="center"/>
        </w:trPr>
        <w:tc>
          <w:tcPr>
            <w:tcW w:w="3312" w:type="dxa"/>
            <w:tcMar>
              <w:top w:w="70" w:type="dxa"/>
              <w:left w:w="70" w:type="dxa"/>
              <w:bottom w:w="70" w:type="dxa"/>
              <w:right w:w="70" w:type="dxa"/>
            </w:tcMar>
            <w:vAlign w:val="center"/>
          </w:tcPr>
          <w:p w14:paraId="501E341D" w14:textId="77777777" w:rsidR="00872D73" w:rsidRDefault="00000000">
            <w:r>
              <w:t>30 Jan 2020 second disruption</w:t>
            </w:r>
          </w:p>
        </w:tc>
        <w:tc>
          <w:tcPr>
            <w:tcW w:w="3312" w:type="dxa"/>
            <w:tcMar>
              <w:top w:w="70" w:type="dxa"/>
              <w:left w:w="70" w:type="dxa"/>
              <w:bottom w:w="70" w:type="dxa"/>
              <w:right w:w="70" w:type="dxa"/>
            </w:tcMar>
            <w:vAlign w:val="center"/>
          </w:tcPr>
          <w:p w14:paraId="31C21178" w14:textId="77777777" w:rsidR="00872D73" w:rsidRDefault="00000000">
            <w:r>
              <w:t>Contextual second disruption only</w:t>
            </w:r>
          </w:p>
        </w:tc>
        <w:tc>
          <w:tcPr>
            <w:tcW w:w="3312" w:type="dxa"/>
            <w:tcMar>
              <w:top w:w="70" w:type="dxa"/>
              <w:left w:w="70" w:type="dxa"/>
              <w:bottom w:w="70" w:type="dxa"/>
              <w:right w:w="70" w:type="dxa"/>
            </w:tcMar>
            <w:vAlign w:val="center"/>
          </w:tcPr>
          <w:p w14:paraId="7D24EAFA" w14:textId="77777777" w:rsidR="00872D73" w:rsidRDefault="00000000">
            <w:r>
              <w:t>Second several-hour national disruption during the continuing FALCON outage; renewed degradation is supported [30], but the exact additional failed physical/backup component remains lower confidence.</w:t>
            </w:r>
          </w:p>
        </w:tc>
      </w:tr>
      <w:tr w:rsidR="00CB05B6" w:rsidRPr="00E0746E" w14:paraId="3B1F3C41" w14:textId="77777777" w:rsidTr="00E0746E">
        <w:trPr>
          <w:cantSplit/>
          <w:jc w:val="center"/>
        </w:trPr>
        <w:tc>
          <w:tcPr>
            <w:tcW w:w="3312" w:type="dxa"/>
            <w:tcMar>
              <w:top w:w="70" w:type="dxa"/>
              <w:left w:w="70" w:type="dxa"/>
              <w:bottom w:w="70" w:type="dxa"/>
              <w:right w:w="70" w:type="dxa"/>
            </w:tcMar>
            <w:vAlign w:val="center"/>
          </w:tcPr>
          <w:p w14:paraId="1268F154" w14:textId="77777777" w:rsidR="00872D73" w:rsidRDefault="00000000">
            <w:r>
              <w:t>21–25 Jan 2022 Yemen outage</w:t>
            </w:r>
          </w:p>
        </w:tc>
        <w:tc>
          <w:tcPr>
            <w:tcW w:w="3312" w:type="dxa"/>
            <w:tcMar>
              <w:top w:w="70" w:type="dxa"/>
              <w:left w:w="70" w:type="dxa"/>
              <w:bottom w:w="70" w:type="dxa"/>
              <w:right w:w="70" w:type="dxa"/>
            </w:tcMar>
            <w:vAlign w:val="center"/>
          </w:tcPr>
          <w:p w14:paraId="5EFED02C" w14:textId="77777777" w:rsidR="00872D73" w:rsidRDefault="00000000">
            <w:r>
              <w:t>Qualitative different-failure-mode challenge</w:t>
            </w:r>
          </w:p>
        </w:tc>
        <w:tc>
          <w:tcPr>
            <w:tcW w:w="3312" w:type="dxa"/>
            <w:tcMar>
              <w:top w:w="70" w:type="dxa"/>
              <w:left w:w="70" w:type="dxa"/>
              <w:bottom w:w="70" w:type="dxa"/>
              <w:right w:w="70" w:type="dxa"/>
            </w:tcMar>
            <w:vAlign w:val="center"/>
          </w:tcPr>
          <w:p w14:paraId="70850BB6" w14:textId="77777777" w:rsidR="00872D73" w:rsidRDefault="00000000">
            <w:r>
              <w:t>Near-total nation-scale connectivity loss lasting ~4 days [31]</w:t>
            </w:r>
          </w:p>
        </w:tc>
      </w:tr>
      <w:tr w:rsidR="00CB05B6" w:rsidRPr="00E0746E" w14:paraId="6192B966" w14:textId="77777777" w:rsidTr="00E0746E">
        <w:trPr>
          <w:cantSplit/>
          <w:jc w:val="center"/>
        </w:trPr>
        <w:tc>
          <w:tcPr>
            <w:tcW w:w="3312" w:type="dxa"/>
            <w:tcMar>
              <w:top w:w="70" w:type="dxa"/>
              <w:left w:w="70" w:type="dxa"/>
              <w:bottom w:w="70" w:type="dxa"/>
              <w:right w:w="70" w:type="dxa"/>
            </w:tcMar>
            <w:vAlign w:val="center"/>
          </w:tcPr>
          <w:p w14:paraId="38575C43" w14:textId="77777777" w:rsidR="00872D73" w:rsidRDefault="00000000">
            <w:r>
              <w:t>10 Nov 2023 FALCON maintenance</w:t>
            </w:r>
          </w:p>
        </w:tc>
        <w:tc>
          <w:tcPr>
            <w:tcW w:w="3312" w:type="dxa"/>
            <w:tcMar>
              <w:top w:w="70" w:type="dxa"/>
              <w:left w:w="70" w:type="dxa"/>
              <w:bottom w:w="70" w:type="dxa"/>
              <w:right w:w="70" w:type="dxa"/>
            </w:tcMar>
            <w:vAlign w:val="center"/>
          </w:tcPr>
          <w:p w14:paraId="0A7B373B" w14:textId="77777777" w:rsidR="00872D73" w:rsidRDefault="00000000">
            <w:r>
              <w:t>Same-component cross-event transferability challenge</w:t>
            </w:r>
          </w:p>
        </w:tc>
        <w:tc>
          <w:tcPr>
            <w:tcW w:w="3312" w:type="dxa"/>
            <w:tcMar>
              <w:top w:w="70" w:type="dxa"/>
              <w:left w:w="70" w:type="dxa"/>
              <w:bottom w:w="70" w:type="dxa"/>
              <w:right w:w="70" w:type="dxa"/>
            </w:tcMar>
            <w:vAlign w:val="center"/>
          </w:tcPr>
          <w:p w14:paraId="34029173" w14:textId="77777777" w:rsidR="00872D73" w:rsidRDefault="00000000">
            <w:r>
              <w:t>Confirmed scheduled FALCON maintenance; national connectivity reported at 33%; main disruption 00:10-04:45 UTC [32-35]</w:t>
            </w:r>
          </w:p>
        </w:tc>
      </w:tr>
      <w:tr w:rsidR="00CB05B6" w:rsidRPr="00E0746E" w14:paraId="18EB494E" w14:textId="77777777" w:rsidTr="00E0746E">
        <w:trPr>
          <w:cantSplit/>
          <w:jc w:val="center"/>
        </w:trPr>
        <w:tc>
          <w:tcPr>
            <w:tcW w:w="3312" w:type="dxa"/>
            <w:tcMar>
              <w:top w:w="70" w:type="dxa"/>
              <w:left w:w="70" w:type="dxa"/>
              <w:bottom w:w="70" w:type="dxa"/>
              <w:right w:w="70" w:type="dxa"/>
            </w:tcMar>
            <w:vAlign w:val="center"/>
          </w:tcPr>
          <w:p w14:paraId="54DF68FA" w14:textId="77777777" w:rsidR="00872D73" w:rsidRDefault="00000000">
            <w:r>
              <w:t>2024/2025 Red Sea disruptions</w:t>
            </w:r>
          </w:p>
        </w:tc>
        <w:tc>
          <w:tcPr>
            <w:tcW w:w="3312" w:type="dxa"/>
            <w:tcMar>
              <w:top w:w="70" w:type="dxa"/>
              <w:left w:w="70" w:type="dxa"/>
              <w:bottom w:w="70" w:type="dxa"/>
              <w:right w:w="70" w:type="dxa"/>
            </w:tcMar>
            <w:vAlign w:val="center"/>
          </w:tcPr>
          <w:p w14:paraId="19CB2061" w14:textId="77777777" w:rsidR="00872D73" w:rsidRDefault="00000000">
            <w:r>
              <w:t>Context only</w:t>
            </w:r>
          </w:p>
        </w:tc>
        <w:tc>
          <w:tcPr>
            <w:tcW w:w="3312" w:type="dxa"/>
            <w:tcMar>
              <w:top w:w="70" w:type="dxa"/>
              <w:left w:w="70" w:type="dxa"/>
              <w:bottom w:w="70" w:type="dxa"/>
              <w:right w:w="70" w:type="dxa"/>
            </w:tcMar>
            <w:vAlign w:val="center"/>
          </w:tcPr>
          <w:p w14:paraId="20A5EFBF" w14:textId="77777777" w:rsidR="00872D73" w:rsidRDefault="00000000">
            <w:r>
              <w:t>Regional multi-cable and rerouting evidence; used cautiously for Yemen-specific inference</w:t>
            </w:r>
          </w:p>
        </w:tc>
      </w:tr>
    </w:tbl>
    <w:p w14:paraId="156803CA" w14:textId="77777777" w:rsidR="00CB05B6" w:rsidRPr="00E0746E" w:rsidRDefault="00CB05B6">
      <w:pPr>
        <w:spacing w:line="259" w:lineRule="auto"/>
        <w:rPr>
          <w:rFonts w:asciiTheme="majorBidi" w:hAnsiTheme="majorBidi" w:cstheme="majorBidi"/>
        </w:rPr>
      </w:pPr>
    </w:p>
    <w:p w14:paraId="526616AD" w14:textId="77777777" w:rsidR="00CB05B6" w:rsidRPr="00E0746E" w:rsidRDefault="00000000">
      <w:pPr>
        <w:pStyle w:val="21"/>
        <w:spacing w:before="160"/>
        <w:rPr>
          <w:rFonts w:asciiTheme="majorBidi" w:hAnsiTheme="majorBidi"/>
          <w:color w:val="auto"/>
        </w:rPr>
      </w:pPr>
      <w:r w:rsidRPr="00E0746E">
        <w:rPr>
          <w:rFonts w:asciiTheme="majorBidi" w:hAnsiTheme="majorBidi"/>
        </w:rPr>
        <w:t>4.2 Aggregate IODA Structural–Functional Proxy</w:t>
      </w:r>
    </w:p>
    <w:p w14:paraId="3180D0D4" w14:textId="77777777" w:rsidR="00CB05B6" w:rsidRPr="00E0746E" w:rsidRDefault="00000000">
      <w:pPr>
        <w:spacing w:line="259" w:lineRule="auto"/>
        <w:rPr>
          <w:rFonts w:asciiTheme="majorBidi" w:hAnsiTheme="majorBidi" w:cstheme="majorBidi"/>
        </w:rPr>
      </w:pPr>
      <w:r>
        <w:t>IODA [28] reports distinct connectivity signals rather than a single interchangeable measure. Its BGP signal aggregates /24 networks visible via Route Views/RIPE RIS peers, whereas its active-probing signal estimates /24 networks that respond to active measurements. These signals are normalized separately. The present 2020 evidence is restricted to previously published normalized IODA plots, digitized as a bounded descriptive fallback. An additional phase audit recalculates BGP-minus-active retention differences for the named baseline, early-degradation, acute, and post-midnight windows from the redistributed window summaries. This reanalysis cannot reconstruct timestamps, prove cross-signal temporal synchronization, provide confidence intervals, or substitute for raw samples. Later GitHub Actions tests of the official IODA v2 raw endpoint returned HTTP 200 with an empty data envelope for 8–12 January 2020 for AS30873, AS12486, and Yemen; BGP- and active-probing-specific requests also provided no original samples. Attempts to verify legacy CAIDA endpoints from the cloud runner failed at the network/TLS stage. These results establish non-retrieval from the tested interfaces, not permanent absence from every archive. Native IODA data for November 2023 were retrieved in a separate subsequent workflow and have not been substituted for the 2020 plot-derived measurements in this manuscript.</w:t>
      </w:r>
    </w:p>
    <w:p w14:paraId="35D810A9"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5. Cross-Layer Dependency Architecture</w:t>
      </w:r>
    </w:p>
    <w:p w14:paraId="3D03ED59" w14:textId="77777777" w:rsidR="00CB05B6" w:rsidRPr="00E0746E" w:rsidRDefault="00000000">
      <w:pPr>
        <w:spacing w:line="259" w:lineRule="auto"/>
        <w:rPr>
          <w:rFonts w:asciiTheme="majorBidi" w:hAnsiTheme="majorBidi" w:cstheme="majorBidi"/>
        </w:rPr>
      </w:pPr>
      <w:r>
        <w:t>For interpretation, the study retains three structural dependency domains: submarine infrastructure, international routing/connectivity, and national AS/BGP resources. Cross-layer relationships indicate how logical connectivity may depend on common physical resources. The architecture is conceptual unless a dependency edge is supported by public evidence or validated mapping; it is not treated as a fully observed topology. The organizing architecture is shown in Fig. 1.</w:t>
      </w:r>
    </w:p>
    <w:p w14:paraId="5AB553E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Functional performance is represented by a vector of measurement-specific states Q_m(t), where m indexes the measurement family. The primary families are Q_control(t) for routing/control-plane visibility, Q_active(t) for </w:t>
      </w:r>
      <w:r w:rsidRPr="00E0746E">
        <w:rPr>
          <w:rFonts w:asciiTheme="majorBidi" w:hAnsiTheme="majorBidi" w:cstheme="majorBidi"/>
        </w:rPr>
        <w:lastRenderedPageBreak/>
        <w:t>active reachability, Q_capacity(t) for reported international capacity, and Q_connectivity(t) for country-level connectivity or traffic indicators. Each family may be normalized to its own pre-event baseline when the source supports that operation. Values from different families are not averaged into a latent Q(t), and resilience integrals are not compared across families unless the measurement semantics and time bases are commensurable.</w:t>
      </w:r>
    </w:p>
    <w:p w14:paraId="795FFC29"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drawing>
          <wp:inline distT="0" distB="0" distL="0" distR="0" wp14:anchorId="663CB868" wp14:editId="427B491E">
            <wp:extent cx="5715000" cy="2931795"/>
            <wp:effectExtent l="0" t="0" r="0" b="0"/>
            <wp:docPr id="1" name="Picture 1" descr="Three-layer dependency architecture linking submarine infrastructure, international routing connectivity, national AS and BGP resources, and four measurement-specific functional evidence famil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ultilayer_architecture.png"/>
                    <pic:cNvPicPr/>
                  </pic:nvPicPr>
                  <pic:blipFill>
                    <a:blip r:embed="rId7"/>
                    <a:stretch>
                      <a:fillRect/>
                    </a:stretch>
                  </pic:blipFill>
                  <pic:spPr>
                    <a:xfrm>
                      <a:off x="0" y="0"/>
                      <a:ext cx="5715000" cy="2931795"/>
                    </a:xfrm>
                    <a:prstGeom prst="rect">
                      <a:avLst/>
                    </a:prstGeom>
                  </pic:spPr>
                </pic:pic>
              </a:graphicData>
            </a:graphic>
          </wp:inline>
        </w:drawing>
      </w:r>
    </w:p>
    <w:p w14:paraId="7259A2C8" w14:textId="77777777" w:rsidR="00CB05B6" w:rsidRPr="00E0746E" w:rsidRDefault="00000000">
      <w:pPr>
        <w:pStyle w:val="af0"/>
        <w:rPr>
          <w:rFonts w:asciiTheme="majorBidi" w:hAnsiTheme="majorBidi" w:cstheme="majorBidi"/>
        </w:rPr>
      </w:pPr>
      <w:r>
        <w:t>Fig. 1 Dependency architecture used to interpret physical, routing, and national-AS relationships; functional evidence is analyzed through measurement-specific Q_m(t) signals rather than as a fourth network layer</w:t>
      </w:r>
    </w:p>
    <w:p w14:paraId="73C6D674" w14:textId="77777777" w:rsidR="00CB05B6" w:rsidRPr="00E0746E" w:rsidRDefault="00000000">
      <w:pPr>
        <w:pStyle w:val="21"/>
        <w:spacing w:before="160"/>
        <w:rPr>
          <w:rFonts w:asciiTheme="majorBidi" w:hAnsiTheme="majorBidi"/>
          <w:color w:val="auto"/>
        </w:rPr>
      </w:pPr>
      <w:r w:rsidRPr="00E0746E">
        <w:rPr>
          <w:rFonts w:asciiTheme="majorBidi" w:hAnsiTheme="majorBidi"/>
        </w:rPr>
        <w:t>5.1 Cross-Layer Mapping</w:t>
      </w:r>
    </w:p>
    <w:p w14:paraId="2E1E0D7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Cable/path associations and dependency edges are retained only when supported by public operator information, traceroute geography, BGP-path evidence, landing context, or historical event response. Confidence labels remain useful for future event-time graph reconstruction, but this revision does not report quantitative mapping-branch robustness because the required route-level historical input is not yet validated.</w:t>
      </w:r>
    </w:p>
    <w:p w14:paraId="51F7424E" w14:textId="77777777" w:rsidR="00CB05B6" w:rsidRPr="00E0746E" w:rsidRDefault="00000000">
      <w:pPr>
        <w:pStyle w:val="21"/>
        <w:spacing w:before="160"/>
        <w:rPr>
          <w:rFonts w:asciiTheme="majorBidi" w:hAnsiTheme="majorBidi"/>
          <w:color w:val="auto"/>
        </w:rPr>
      </w:pPr>
      <w:r w:rsidRPr="00E0746E">
        <w:rPr>
          <w:rFonts w:asciiTheme="majorBidi" w:hAnsiTheme="majorBidi"/>
        </w:rPr>
        <w:t>5.2 Resource–Origin Dependency</w:t>
      </w:r>
    </w:p>
    <w:p w14:paraId="15B78D65"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Resource-origin analysis captures the fact that organizationally distinct resources can share an origin ASN. Representative current observations show this pattern for some Yemen Mobile, YOU, and Sabafon resources associated with AS30873. This is interpreted as evidence that organizational labels alone do not establish routing independence; it is not used to infer that all operator traffic shares one path or that the same concentration held during the 2020 event.</w:t>
      </w:r>
    </w:p>
    <w:p w14:paraId="3DB8141D"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6. Measurement-Specific Resilience and Dependency Analysis</w:t>
      </w:r>
    </w:p>
    <w:p w14:paraId="59E86DC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temporal analysis distinguishes Normal, Disruption, Adaptation, and Recovery phases at the event level. The purpose is descriptive and falsifiable: event windows organize what is observed without assuming memoryless or fitted stochastic transition times. A semi-Markov formulation was pre-specified during project development, but no holding-time distribution can be estimated credibly from the sparse, heterogeneous historical events. It is therefore removed from the main contribution set and retained only as a possible future extension.</w:t>
      </w:r>
    </w:p>
    <w:p w14:paraId="44C7816B" w14:textId="77777777" w:rsidR="00CB05B6" w:rsidRPr="00E0746E" w:rsidRDefault="00000000">
      <w:pPr>
        <w:pStyle w:val="21"/>
        <w:spacing w:before="160"/>
        <w:rPr>
          <w:rFonts w:asciiTheme="majorBidi" w:hAnsiTheme="majorBidi"/>
          <w:color w:val="auto"/>
        </w:rPr>
      </w:pPr>
      <w:r w:rsidRPr="00E0746E">
        <w:rPr>
          <w:rFonts w:asciiTheme="majorBidi" w:hAnsiTheme="majorBidi"/>
        </w:rPr>
        <w:t>6.1 Route-Level Metrics: Definitions and Withholding Rules</w:t>
      </w:r>
    </w:p>
    <w:p w14:paraId="34BCCCD3" w14:textId="77777777" w:rsidR="00CB05B6" w:rsidRPr="00E0746E" w:rsidRDefault="00000000">
      <w:pPr>
        <w:spacing w:line="259" w:lineRule="auto"/>
        <w:rPr>
          <w:rFonts w:asciiTheme="majorBidi" w:hAnsiTheme="majorBidi" w:cstheme="majorBidi"/>
        </w:rPr>
      </w:pPr>
      <w:r>
        <w:t>Structural quantities such as prefix visibility retention, route-observation retention, upstream switching, provider-set churn, AS-path inflation, cascade size, and cascade depth require valid historical route-state data from comparable vantage points. Those quantities are defined in Online Resource 1 but are not released numerically in this manuscript because the attempted checkpoint bundle failed validation. The main paper therefore avoids claims about which dependency 'most strongly' amplifies failure at the route level.</w:t>
      </w:r>
    </w:p>
    <w:p w14:paraId="4A0A8428"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6.2 Measurement-Family-Specific Functional Resilience</w:t>
      </w:r>
    </w:p>
    <w:p w14:paraId="107CD3A4"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For each measurement family m, normalized retention can be written q_m(t)=X_m(t)/B_m, where B_m is a pre-event baseline defined within that same source and signal family. Maximum loss, area loss, and recovery thresholds are meaningful only within a sufficiently sampled and semantically consistent time series. Because the present evidence does not provide such a continuous, homogeneous trace across the full 2020 recovery period, the manuscript does not release a 27-day scalar resilience-loss integral or T_R(90/95/99) as empirical estimates.</w:t>
      </w:r>
    </w:p>
    <w:p w14:paraId="1FCFFDA4" w14:textId="77777777" w:rsidR="00CB05B6" w:rsidRPr="00E0746E" w:rsidRDefault="00000000">
      <w:pPr>
        <w:pStyle w:val="21"/>
        <w:spacing w:before="160"/>
        <w:rPr>
          <w:rFonts w:asciiTheme="majorBidi" w:hAnsiTheme="majorBidi"/>
          <w:color w:val="auto"/>
        </w:rPr>
      </w:pPr>
      <w:r w:rsidRPr="00E0746E">
        <w:rPr>
          <w:rFonts w:asciiTheme="majorBidi" w:hAnsiTheme="majorBidi"/>
        </w:rPr>
        <w:t>6.3 Structural–Functional Dual Axis</w:t>
      </w:r>
    </w:p>
    <w:p w14:paraId="094245D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primary structural-functional comparison is contemporaneous but signal-specific: routing/control-plane retention and active-reachability retention are normalized to their own pre-event medians and compared as separate proportions. Their difference is interpreted as a descriptive divergence between measurement families, not as a difference between two estimates of the same latent quantity.</w:t>
      </w:r>
    </w:p>
    <w:p w14:paraId="4E7ED520" w14:textId="77777777" w:rsidR="00CB05B6" w:rsidRPr="00E0746E" w:rsidRDefault="00000000">
      <w:pPr>
        <w:pStyle w:val="21"/>
        <w:spacing w:before="160"/>
        <w:rPr>
          <w:rFonts w:asciiTheme="majorBidi" w:hAnsiTheme="majorBidi"/>
          <w:color w:val="auto"/>
        </w:rPr>
      </w:pPr>
      <w:r w:rsidRPr="00E0746E">
        <w:rPr>
          <w:rFonts w:asciiTheme="majorBidi" w:hAnsiTheme="majorBidi"/>
        </w:rPr>
        <w:t>6.4 AI-Assisted Code Development and Human Verification</w:t>
      </w:r>
    </w:p>
    <w:p w14:paraId="72C2FC0C"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ChatGPT (OpenAI) was used to assist with drafting and reviewing selected analysis and reproducibility scripts. It did not generate empirical observations or substitute for source data. All scripts used for reported results were manually inspected, executed against the stated inputs, and their numerical outputs were checked by the authors. Fail-closed validation rules were retained so that empty or unvalidated raw inputs could not be converted into reported results.</w:t>
      </w:r>
    </w:p>
    <w:p w14:paraId="3D4C46E1"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7. Event Comparison and Evidence Boundaries</w:t>
      </w:r>
    </w:p>
    <w:p w14:paraId="3247FC95" w14:textId="77777777" w:rsidR="00CB05B6" w:rsidRPr="00E0746E" w:rsidRDefault="00000000">
      <w:pPr>
        <w:pStyle w:val="21"/>
        <w:spacing w:before="160"/>
        <w:rPr>
          <w:rFonts w:asciiTheme="majorBidi" w:hAnsiTheme="majorBidi"/>
          <w:color w:val="auto"/>
        </w:rPr>
      </w:pPr>
      <w:r w:rsidRPr="00E0746E">
        <w:rPr>
          <w:rFonts w:asciiTheme="majorBidi" w:hAnsiTheme="majorBidi"/>
        </w:rPr>
        <w:t>7.1 Cross-Event Transferability Design</w:t>
      </w:r>
    </w:p>
    <w:p w14:paraId="0EB1A79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2020 FALCON cut is the primary empirical case. The 2023 scheduled FALCON maintenance event is used as a same-component cross-event transferability challenge, not as a homogeneous predictive-validation sample, because the operational context and measurement semantics differ. The 2022 national outage is retained as a qualitative different-failure-mode challenge. No parameter is silently refitted to force agreement across events.</w:t>
      </w:r>
    </w:p>
    <w:p w14:paraId="5077F073" w14:textId="77777777" w:rsidR="00CB05B6" w:rsidRPr="00E0746E" w:rsidRDefault="00000000">
      <w:pPr>
        <w:pStyle w:val="21"/>
        <w:spacing w:before="160"/>
        <w:rPr>
          <w:rFonts w:asciiTheme="majorBidi" w:hAnsiTheme="majorBidi"/>
          <w:color w:val="auto"/>
        </w:rPr>
      </w:pPr>
      <w:r w:rsidRPr="00E0746E">
        <w:rPr>
          <w:rFonts w:asciiTheme="majorBidi" w:hAnsiTheme="majorBidi"/>
        </w:rPr>
        <w:t>7.2 Machine Learning Exclusion</w:t>
      </w:r>
    </w:p>
    <w:p w14:paraId="2450516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Machine learning is not part of the final contribution set. The available historical events are too few and heterogeneous to support a defensible predictive model, and deterministic scenario-grid rows are not treated as independent empirical samples.</w:t>
      </w:r>
    </w:p>
    <w:p w14:paraId="384EDBC4"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8. Results</w:t>
      </w:r>
    </w:p>
    <w:p w14:paraId="4451CCC3" w14:textId="77777777" w:rsidR="00CB05B6" w:rsidRPr="00E0746E" w:rsidRDefault="00000000">
      <w:pPr>
        <w:pStyle w:val="21"/>
        <w:spacing w:before="160"/>
        <w:rPr>
          <w:rFonts w:asciiTheme="majorBidi" w:hAnsiTheme="majorBidi"/>
          <w:color w:val="auto"/>
        </w:rPr>
      </w:pPr>
      <w:r w:rsidRPr="00E0746E">
        <w:rPr>
          <w:rFonts w:asciiTheme="majorBidi" w:hAnsiTheme="majorBidi"/>
        </w:rPr>
        <w:t>8.1 Present-Day BGP-Origin Concentration as Context</w:t>
      </w:r>
    </w:p>
    <w:p w14:paraId="11293786" w14:textId="77777777" w:rsidR="00CB05B6" w:rsidRPr="00E0746E" w:rsidRDefault="00000000">
      <w:pPr>
        <w:spacing w:line="259" w:lineRule="auto"/>
        <w:rPr>
          <w:rFonts w:asciiTheme="majorBidi" w:hAnsiTheme="majorBidi" w:cstheme="majorBidi"/>
        </w:rPr>
      </w:pPr>
      <w:r>
        <w:t>A frozen prefix-level public-routing snapshot assembled on 9 August 2026 [36] contains 150 IPv4 prefixes across AS30873, AS12486, and AS204317. AS30873 accounts for 76.0% of the frozen prefix set, AS12486 for 21.33%, and AS204317 for 2.67%, corresponding to an origin-prefix Herfindahl–Hirschman Index (HHI) of approximately 0.624. After collapsing overlapping more-specific prefixes, the unique /24-equivalent address-space shares are approximately 95.88%, 3.67%, and 0.44%, yielding an HHI of approximately 0.921. These values establish present-day origin concentration in the assembled snapshot only. They are not interpreted as the routing state of January 2020, market share, subscriber share, or traffic share. Historical concentration reconstruction remains a separate empirical task. The corresponding concentration shares are summarized in Table 5 and visualized in Fig. 2.</w:t>
      </w:r>
    </w:p>
    <w:p w14:paraId="7543CB9F"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lastRenderedPageBreak/>
        <w:drawing>
          <wp:inline distT="0" distB="0" distL="0" distR="0" wp14:anchorId="0EB0EDDA" wp14:editId="34A17187">
            <wp:extent cx="5623560" cy="3158032"/>
            <wp:effectExtent l="0" t="0" r="0" b="0"/>
            <wp:docPr id="3" name="Picture 3" descr="Bar chart of present-day BGP origin concentration for AS30873, AS12486, and AS204317, comparing IPv4 prefix share with unique slash-24-equivalent address-space sha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rigin_concentration.png"/>
                    <pic:cNvPicPr/>
                  </pic:nvPicPr>
                  <pic:blipFill>
                    <a:blip r:embed="rId8"/>
                    <a:stretch>
                      <a:fillRect/>
                    </a:stretch>
                  </pic:blipFill>
                  <pic:spPr>
                    <a:xfrm>
                      <a:off x="0" y="0"/>
                      <a:ext cx="5623560" cy="3158032"/>
                    </a:xfrm>
                    <a:prstGeom prst="rect">
                      <a:avLst/>
                    </a:prstGeom>
                  </pic:spPr>
                </pic:pic>
              </a:graphicData>
            </a:graphic>
          </wp:inline>
        </w:drawing>
      </w:r>
    </w:p>
    <w:p w14:paraId="44E77897" w14:textId="77777777" w:rsidR="00CB05B6" w:rsidRPr="00E0746E" w:rsidRDefault="00000000">
      <w:pPr>
        <w:pStyle w:val="af0"/>
        <w:rPr>
          <w:rFonts w:asciiTheme="majorBidi" w:hAnsiTheme="majorBidi" w:cstheme="majorBidi"/>
        </w:rPr>
      </w:pPr>
      <w:r>
        <w:t>Fig. 2 Present-day BGP-origin concentration in the frozen assembled 9 August 2026 snapshot; the result is contextual and is not back-projected to the 2020 disruption</w:t>
      </w:r>
    </w:p>
    <w:p w14:paraId="7F0A0CFF" w14:textId="77777777" w:rsidR="00872D73" w:rsidRDefault="00000000">
      <w:pPr>
        <w:pStyle w:val="af0"/>
      </w:pPr>
      <w:r>
        <w:t>Table 5 Present-day BGP-origin concentration in the frozen 9 August 2026 snapshot</w:t>
      </w:r>
    </w:p>
    <w:tbl>
      <w:tblPr>
        <w:tblStyle w:val="afa"/>
        <w:tblW w:w="0" w:type="auto"/>
        <w:jc w:val="center"/>
        <w:tblLook w:val="04A0" w:firstRow="1" w:lastRow="0" w:firstColumn="1" w:lastColumn="0" w:noHBand="0" w:noVBand="1"/>
      </w:tblPr>
      <w:tblGrid>
        <w:gridCol w:w="3261"/>
        <w:gridCol w:w="3259"/>
        <w:gridCol w:w="3262"/>
      </w:tblGrid>
      <w:tr w:rsidR="00CB05B6" w:rsidRPr="00E0746E" w14:paraId="292013C2" w14:textId="77777777">
        <w:trPr>
          <w:cantSplit/>
          <w:tblHeader/>
          <w:jc w:val="center"/>
        </w:trPr>
        <w:tc>
          <w:tcPr>
            <w:tcW w:w="3312" w:type="dxa"/>
            <w:shd w:val="clear" w:color="auto" w:fill="E7E6E6"/>
            <w:tcMar>
              <w:top w:w="70" w:type="dxa"/>
              <w:left w:w="70" w:type="dxa"/>
              <w:bottom w:w="70" w:type="dxa"/>
              <w:right w:w="70" w:type="dxa"/>
            </w:tcMar>
            <w:vAlign w:val="center"/>
          </w:tcPr>
          <w:p w14:paraId="3FA1922A" w14:textId="77777777" w:rsidR="00872D73" w:rsidRDefault="00000000">
            <w:r>
              <w:rPr>
                <w:b/>
              </w:rPr>
              <w:t>Origin ASN</w:t>
            </w:r>
          </w:p>
        </w:tc>
        <w:tc>
          <w:tcPr>
            <w:tcW w:w="3312" w:type="dxa"/>
            <w:shd w:val="clear" w:color="auto" w:fill="E7E6E6"/>
            <w:tcMar>
              <w:top w:w="70" w:type="dxa"/>
              <w:left w:w="70" w:type="dxa"/>
              <w:bottom w:w="70" w:type="dxa"/>
              <w:right w:w="70" w:type="dxa"/>
            </w:tcMar>
            <w:vAlign w:val="center"/>
          </w:tcPr>
          <w:p w14:paraId="34713518" w14:textId="77777777" w:rsidR="00872D73" w:rsidRDefault="00000000">
            <w:r>
              <w:rPr>
                <w:b/>
              </w:rPr>
              <w:t>Share of observed IPv4 prefixes</w:t>
            </w:r>
          </w:p>
        </w:tc>
        <w:tc>
          <w:tcPr>
            <w:tcW w:w="3312" w:type="dxa"/>
            <w:shd w:val="clear" w:color="auto" w:fill="E7E6E6"/>
            <w:tcMar>
              <w:top w:w="70" w:type="dxa"/>
              <w:left w:w="70" w:type="dxa"/>
              <w:bottom w:w="70" w:type="dxa"/>
              <w:right w:w="70" w:type="dxa"/>
            </w:tcMar>
            <w:vAlign w:val="center"/>
          </w:tcPr>
          <w:p w14:paraId="760E9968" w14:textId="77777777" w:rsidR="00872D73" w:rsidRDefault="00000000">
            <w:r>
              <w:rPr>
                <w:b/>
              </w:rPr>
              <w:t>Share of unique /24-equivalent originated IPv4 space</w:t>
            </w:r>
          </w:p>
        </w:tc>
      </w:tr>
      <w:tr w:rsidR="00CB05B6" w:rsidRPr="00E0746E" w14:paraId="1EEA4E40" w14:textId="77777777">
        <w:trPr>
          <w:cantSplit/>
          <w:jc w:val="center"/>
        </w:trPr>
        <w:tc>
          <w:tcPr>
            <w:tcW w:w="3312" w:type="dxa"/>
            <w:tcMar>
              <w:top w:w="70" w:type="dxa"/>
              <w:left w:w="70" w:type="dxa"/>
              <w:bottom w:w="70" w:type="dxa"/>
              <w:right w:w="70" w:type="dxa"/>
            </w:tcMar>
            <w:vAlign w:val="center"/>
          </w:tcPr>
          <w:p w14:paraId="4EA2BF62" w14:textId="77777777" w:rsidR="00872D73" w:rsidRDefault="00000000">
            <w:r>
              <w:t>AS30873</w:t>
            </w:r>
          </w:p>
        </w:tc>
        <w:tc>
          <w:tcPr>
            <w:tcW w:w="3312" w:type="dxa"/>
            <w:tcMar>
              <w:top w:w="70" w:type="dxa"/>
              <w:left w:w="70" w:type="dxa"/>
              <w:bottom w:w="70" w:type="dxa"/>
              <w:right w:w="70" w:type="dxa"/>
            </w:tcMar>
            <w:vAlign w:val="center"/>
          </w:tcPr>
          <w:p w14:paraId="5494FE7F" w14:textId="77777777" w:rsidR="00872D73" w:rsidRDefault="00000000">
            <w:r>
              <w:t>76.00%</w:t>
            </w:r>
          </w:p>
        </w:tc>
        <w:tc>
          <w:tcPr>
            <w:tcW w:w="3312" w:type="dxa"/>
            <w:tcMar>
              <w:top w:w="70" w:type="dxa"/>
              <w:left w:w="70" w:type="dxa"/>
              <w:bottom w:w="70" w:type="dxa"/>
              <w:right w:w="70" w:type="dxa"/>
            </w:tcMar>
            <w:vAlign w:val="center"/>
          </w:tcPr>
          <w:p w14:paraId="72F43D8D" w14:textId="77777777" w:rsidR="00872D73" w:rsidRDefault="00000000">
            <w:r>
              <w:t>95.88%</w:t>
            </w:r>
          </w:p>
        </w:tc>
      </w:tr>
      <w:tr w:rsidR="00CB05B6" w:rsidRPr="00E0746E" w14:paraId="365074E9" w14:textId="77777777">
        <w:trPr>
          <w:cantSplit/>
          <w:jc w:val="center"/>
        </w:trPr>
        <w:tc>
          <w:tcPr>
            <w:tcW w:w="3312" w:type="dxa"/>
            <w:tcMar>
              <w:top w:w="70" w:type="dxa"/>
              <w:left w:w="70" w:type="dxa"/>
              <w:bottom w:w="70" w:type="dxa"/>
              <w:right w:w="70" w:type="dxa"/>
            </w:tcMar>
            <w:vAlign w:val="center"/>
          </w:tcPr>
          <w:p w14:paraId="1DC8A2D3" w14:textId="77777777" w:rsidR="00872D73" w:rsidRDefault="00000000">
            <w:r>
              <w:t>AS12486</w:t>
            </w:r>
          </w:p>
        </w:tc>
        <w:tc>
          <w:tcPr>
            <w:tcW w:w="3312" w:type="dxa"/>
            <w:tcMar>
              <w:top w:w="70" w:type="dxa"/>
              <w:left w:w="70" w:type="dxa"/>
              <w:bottom w:w="70" w:type="dxa"/>
              <w:right w:w="70" w:type="dxa"/>
            </w:tcMar>
            <w:vAlign w:val="center"/>
          </w:tcPr>
          <w:p w14:paraId="351B4D9F" w14:textId="77777777" w:rsidR="00872D73" w:rsidRDefault="00000000">
            <w:r>
              <w:t>21.33%</w:t>
            </w:r>
          </w:p>
        </w:tc>
        <w:tc>
          <w:tcPr>
            <w:tcW w:w="3312" w:type="dxa"/>
            <w:tcMar>
              <w:top w:w="70" w:type="dxa"/>
              <w:left w:w="70" w:type="dxa"/>
              <w:bottom w:w="70" w:type="dxa"/>
              <w:right w:w="70" w:type="dxa"/>
            </w:tcMar>
            <w:vAlign w:val="center"/>
          </w:tcPr>
          <w:p w14:paraId="737DA5D9" w14:textId="77777777" w:rsidR="00872D73" w:rsidRDefault="00000000">
            <w:r>
              <w:t>3.67%</w:t>
            </w:r>
          </w:p>
        </w:tc>
      </w:tr>
      <w:tr w:rsidR="00CB05B6" w:rsidRPr="00E0746E" w14:paraId="11B5AC84" w14:textId="77777777">
        <w:trPr>
          <w:cantSplit/>
          <w:jc w:val="center"/>
        </w:trPr>
        <w:tc>
          <w:tcPr>
            <w:tcW w:w="3312" w:type="dxa"/>
            <w:tcMar>
              <w:top w:w="70" w:type="dxa"/>
              <w:left w:w="70" w:type="dxa"/>
              <w:bottom w:w="70" w:type="dxa"/>
              <w:right w:w="70" w:type="dxa"/>
            </w:tcMar>
            <w:vAlign w:val="center"/>
          </w:tcPr>
          <w:p w14:paraId="47A1EAE2" w14:textId="77777777" w:rsidR="00872D73" w:rsidRDefault="00000000">
            <w:r>
              <w:t>AS204317</w:t>
            </w:r>
          </w:p>
        </w:tc>
        <w:tc>
          <w:tcPr>
            <w:tcW w:w="3312" w:type="dxa"/>
            <w:tcMar>
              <w:top w:w="70" w:type="dxa"/>
              <w:left w:w="70" w:type="dxa"/>
              <w:bottom w:w="70" w:type="dxa"/>
              <w:right w:w="70" w:type="dxa"/>
            </w:tcMar>
            <w:vAlign w:val="center"/>
          </w:tcPr>
          <w:p w14:paraId="29BCAA95" w14:textId="77777777" w:rsidR="00872D73" w:rsidRDefault="00000000">
            <w:r>
              <w:t>2.67%</w:t>
            </w:r>
          </w:p>
        </w:tc>
        <w:tc>
          <w:tcPr>
            <w:tcW w:w="3312" w:type="dxa"/>
            <w:tcMar>
              <w:top w:w="70" w:type="dxa"/>
              <w:left w:w="70" w:type="dxa"/>
              <w:bottom w:w="70" w:type="dxa"/>
              <w:right w:w="70" w:type="dxa"/>
            </w:tcMar>
            <w:vAlign w:val="center"/>
          </w:tcPr>
          <w:p w14:paraId="45E8DEBC" w14:textId="77777777" w:rsidR="00872D73" w:rsidRDefault="00000000">
            <w:r>
              <w:t>0.44%</w:t>
            </w:r>
          </w:p>
        </w:tc>
      </w:tr>
    </w:tbl>
    <w:p w14:paraId="01A7EBBF" w14:textId="77777777" w:rsidR="00CB05B6" w:rsidRPr="00E0746E" w:rsidRDefault="00CB05B6">
      <w:pPr>
        <w:spacing w:line="259" w:lineRule="auto"/>
        <w:rPr>
          <w:rFonts w:asciiTheme="majorBidi" w:hAnsiTheme="majorBidi" w:cstheme="majorBidi"/>
        </w:rPr>
      </w:pPr>
    </w:p>
    <w:p w14:paraId="220B9CCF" w14:textId="77777777" w:rsidR="00CB05B6" w:rsidRPr="00E0746E" w:rsidRDefault="00000000">
      <w:pPr>
        <w:pStyle w:val="21"/>
        <w:spacing w:before="160"/>
        <w:rPr>
          <w:rFonts w:asciiTheme="majorBidi" w:hAnsiTheme="majorBidi"/>
          <w:color w:val="auto"/>
        </w:rPr>
      </w:pPr>
      <w:r w:rsidRPr="00E0746E">
        <w:rPr>
          <w:rFonts w:asciiTheme="majorBidi" w:hAnsiTheme="majorBidi"/>
        </w:rPr>
        <w:t>8.2 2020 FALCON Disruption: Structural Adaptation with Severe Functional Loss</w:t>
      </w:r>
    </w:p>
    <w:p w14:paraId="328B814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January 2020 FALCON cut is the primary event. World Bank reporting indicates an approximately 80% loss of Yemen's international Internet capacity for almost a week [29]. Independent event monitoring reports a much stronger impact on AS30873 than AS12486, loss of an AS15412 dependency, and rapid AS30873 failover to alternate upstream providers [30]. This combination is important because it documents routing adaptation while functional service remained severely constrained; however, it does not by itself quantify route-level retention or path diversity.</w:t>
      </w:r>
    </w:p>
    <w:p w14:paraId="2CEC2C9F" w14:textId="77777777" w:rsidR="00CB05B6" w:rsidRPr="00E0746E" w:rsidRDefault="00000000">
      <w:pPr>
        <w:spacing w:line="259" w:lineRule="auto"/>
        <w:rPr>
          <w:rFonts w:asciiTheme="majorBidi" w:hAnsiTheme="majorBidi" w:cstheme="majorBidi"/>
        </w:rPr>
      </w:pPr>
      <w:r>
        <w:t>Historical route-level reconstruction remains unresolved in this revision. The attempted RIPEstat checkpoint bundle returned empty route states and was rejected. Official RIPE RIS MRT archives [25] and CAIDA BGPStream [26] provide a technically appropriate route to reconstruct historical RIB/update evidence from multiple collectors, and scripts for that primary-data upgrade are supplied in Online Resource 1. Until that execution passes a comparable-vantage-point validity check, prefix-visibility retention, route-observation retention, upstream switching, provider churn, AS-path inflation, and route-level path diversity remain withheld.</w:t>
      </w:r>
    </w:p>
    <w:p w14:paraId="7B789016" w14:textId="77777777" w:rsidR="00CB05B6" w:rsidRPr="00E0746E" w:rsidRDefault="00000000">
      <w:pPr>
        <w:pStyle w:val="21"/>
        <w:spacing w:before="160"/>
        <w:rPr>
          <w:rFonts w:asciiTheme="majorBidi" w:hAnsiTheme="majorBidi"/>
          <w:color w:val="auto"/>
        </w:rPr>
      </w:pPr>
      <w:r w:rsidRPr="00E0746E">
        <w:rPr>
          <w:rFonts w:asciiTheme="majorBidi" w:hAnsiTheme="majorBidi"/>
        </w:rPr>
        <w:t>8.2.1 Aggregate IODA Evidence of Structural-Functional Divergence</w:t>
      </w:r>
    </w:p>
    <w:p w14:paraId="5B3C86A7" w14:textId="77777777" w:rsidR="00CB05B6" w:rsidRPr="00E0746E" w:rsidRDefault="00000000">
      <w:pPr>
        <w:spacing w:line="259" w:lineRule="auto"/>
        <w:rPr>
          <w:rFonts w:asciiTheme="majorBidi" w:hAnsiTheme="majorBidi" w:cstheme="majorBidi"/>
        </w:rPr>
      </w:pPr>
      <w:r>
        <w:t>Using previously published normalized IODA plots as a bounded fallback, AS30873 retained approximately 95.7% of its pre-event median BGP-visibility proxy during the acute 18:00-00:00 UTC window, whereas the active-probing proxy retained approximately 44.8%, a descriptive difference of 50.8 percentage points. Across the same named windows, AS12486's BGP and active-probing median retention were approximately at baseline, although the active-probing trace contained a brief dip. A check based on the digitized window-level means found acute AS12486 active-probing retention of 95.6%, despite its 100% median retention. This matters because a stable median does not rule out a transient degradation. Neither the 50.8-point difference nor the cross-AS contrast estimates a route-level loss fraction, customer impact, or two observations of one latent service variable (Fig. 3).</w:t>
      </w:r>
      <w:r/>
    </w:p>
    <w:p w14:paraId="3C06910E" w14:textId="77777777" w:rsidR="00CB05B6" w:rsidRPr="00E0746E" w:rsidRDefault="00000000">
      <w:pPr>
        <w:spacing w:line="259" w:lineRule="auto"/>
        <w:rPr>
          <w:rFonts w:asciiTheme="majorBidi" w:hAnsiTheme="majorBidi" w:cstheme="majorBidi"/>
        </w:rPr>
      </w:pPr>
      <w:r>
        <w:t>Raster digitization is an acknowledged measurement limitation. To test whether the central result depends on reasonable extraction choices, a pre-specified full-factorial sensitivity grid perturbed the pre-event baseline start (±2 h), baseline end (±60 min), acute-window start and end (each ±60 min), y-axis zero (±2 pixels), y-axis scale (±2 pixels per normalized unit), red-green-blue (RGB) matching tolerance (0-2 per channel), and the summary statistic (median versus mean). The grid generated 20,250 valid parameter settings, which should not be interpreted as independent experiments. Across the grid, the AS30873 BGP-minus-active retention divergence ranged from 45.8 to 55.2 percentage points; the 5th-95th percentile range was 47.5-53.4 points around the central estimate of 50.8 points. Y-axis scale and RGB-tolerance perturbations were invariant within numerical precision over the tested ranges. This robustness analysis does not convert raster-derived values into native IODA samples, but it shows that the qualitative structural-functional divergence is not an artifact of one fixed digitization/window choice.</w:t>
      </w:r>
    </w:p>
    <w:p w14:paraId="62F79E80"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drawing>
          <wp:inline distT="0" distB="0" distL="0" distR="0" wp14:anchorId="308D1DC3" wp14:editId="30BB93E3">
            <wp:extent cx="5623560" cy="3073251"/>
            <wp:effectExtent l="0" t="0" r="0" b="0"/>
            <wp:docPr id="4" name="Picture 4" descr="Bar chart comparing digitized IODA BGP visibility and active-probing retention for AS30873 and AS12486 during the 9 January 2020 acute window; AS30873 shows a large structural-functional diverg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oda_structural_functional_proxy.png"/>
                    <pic:cNvPicPr/>
                  </pic:nvPicPr>
                  <pic:blipFill>
                    <a:blip r:embed="rId9"/>
                    <a:stretch>
                      <a:fillRect/>
                    </a:stretch>
                  </pic:blipFill>
                  <pic:spPr>
                    <a:xfrm>
                      <a:off x="0" y="0"/>
                      <a:ext cx="5623560" cy="3073251"/>
                    </a:xfrm>
                    <a:prstGeom prst="rect">
                      <a:avLst/>
                    </a:prstGeom>
                  </pic:spPr>
                </pic:pic>
              </a:graphicData>
            </a:graphic>
          </wp:inline>
        </w:drawing>
      </w:r>
    </w:p>
    <w:p w14:paraId="50887B3A" w14:textId="77777777" w:rsidR="00CB05B6" w:rsidRPr="00E0746E" w:rsidRDefault="00000000">
      <w:pPr>
        <w:pStyle w:val="af0"/>
        <w:rPr>
          <w:rFonts w:asciiTheme="majorBidi" w:hAnsiTheme="majorBidi" w:cstheme="majorBidi"/>
        </w:rPr>
      </w:pPr>
      <w:r>
        <w:t>Fig. 3 Aggregate IODA signal retention during the 9 January 2020 acute window; BGP visibility and active probing are normalized within their own signal families, and the AS30873 central divergence of 50.8 percentage points remains 45.8–55.2 points across the raster-sensitivity grid</w:t>
      </w:r>
    </w:p>
    <w:p>
      <w:pPr>
        <w:pStyle w:val="21"/>
        <w:keepNext/>
      </w:pPr>
      <w:r>
        <w:t>8.2.2 Phase-Level Audit and Summary-Statistic Sensitivity</w:t>
      </w:r>
    </w:p>
    <w:p>
      <w:pPr/>
      <w:r>
        <w:t>A new audit of the redistributed aggregate digitization table compares four pre-defined plot windows without inventing native samples. Using median retention normalized separately to each AS/signal's baseline, AS30873 has a BGP-minus-active gap of 56.1 percentage points during early degradation, 50.8 during the acute event, and 44.6 post-midnight. The descriptive decline in this gap should not be interpreted as a continuous recovery rate: the source consists of aggregated raster columns with no exported timestamp series, and the timing and measurement constructs are not identical. AS12486 has 100.0% acute active-probing median retention but only 95.6% mean retention when each is compared with its matching baseline statistic, consistent with a short dip that the median suppresses. This secondary result qualifies claims about an unaffected comparator; it does not establish an independent network path, user-level service continuity, or a statistically significant difference. Full decimal values, inputs, and extraction scope are supplied in Online Resource 1, Table S1.</w:t>
      </w:r>
    </w:p>
    <w:p>
      <w:pPr>
        <w:keepNext/>
        <w:jc w:val="center"/>
      </w:pPr>
      <w:r>
        <w:drawing>
          <wp:inline xmlns:a="http://schemas.openxmlformats.org/drawingml/2006/main" xmlns:pic="http://schemas.openxmlformats.org/drawingml/2006/picture">
            <wp:extent cx="5806440" cy="3214403"/>
            <wp:docPr id="5" name="Picture 5"/>
            <wp:cNvGraphicFramePr>
              <a:graphicFrameLocks noChangeAspect="1"/>
            </wp:cNvGraphicFramePr>
            <a:graphic>
              <a:graphicData uri="http://schemas.openxmlformats.org/drawingml/2006/picture">
                <pic:pic>
                  <pic:nvPicPr>
                    <pic:cNvPr id="0" name="Figure4_phase_specific_plot_proxy_retention.png"/>
                    <pic:cNvPicPr/>
                  </pic:nvPicPr>
                  <pic:blipFill>
                    <a:blip r:embed="rId12"/>
                    <a:stretch>
                      <a:fillRect/>
                    </a:stretch>
                  </pic:blipFill>
                  <pic:spPr>
                    <a:xfrm>
                      <a:off x="0" y="0"/>
                      <a:ext cx="5806440" cy="3214403"/>
                    </a:xfrm>
                    <a:prstGeom prst="rect"/>
                  </pic:spPr>
                </pic:pic>
              </a:graphicData>
            </a:graphic>
          </wp:inline>
        </w:drawing>
      </w:r>
    </w:p>
    <w:p>
      <w:pPr>
        <w:pStyle w:val="af0"/>
        <w:keepLines/>
      </w:pPr>
      <w:r>
        <w:t>Fig. 4 Plot-derived phase-specific median retention relative to each signal and AS baseline. The curves recompute existing digitized window summaries; they are not native IODA time series, confidence intervals, or evidence of a continuous recovery process.</w:t>
      </w:r>
    </w:p>
    <w:p w14:paraId="1EEC3B09" w14:textId="77777777" w:rsidR="00CB05B6" w:rsidRPr="00E0746E" w:rsidRDefault="00000000">
      <w:pPr>
        <w:pStyle w:val="21"/>
        <w:spacing w:before="160"/>
        <w:rPr>
          <w:rFonts w:asciiTheme="majorBidi" w:hAnsiTheme="majorBidi"/>
          <w:color w:val="auto"/>
        </w:rPr>
      </w:pPr>
      <w:r w:rsidRPr="00E0746E">
        <w:rPr>
          <w:rFonts w:asciiTheme="majorBidi" w:hAnsiTheme="majorBidi"/>
        </w:rPr>
        <w:t>8.3 January 2022 Outage as a Qualitative Failure-Mode Challenge</w:t>
      </w:r>
    </w:p>
    <w:p w14:paraId="67A18F6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January 2022 event is retained as an external qualitative failure-mode challenge. Public reporting indicates a near-total nationwide connectivity disruption lasting about four days [31], but the accessible evidence does not establish a sufficiently complete and homogeneous physical-to-routing causal chain for quantitative scoring in the same manner as the 2020 FALCON event. Accordingly, the event is not presented as an equivalent numerical holdout.</w:t>
      </w:r>
    </w:p>
    <w:p w14:paraId="3C063E2D" w14:textId="77777777" w:rsidR="00CB05B6" w:rsidRPr="00E0746E" w:rsidRDefault="00000000">
      <w:pPr>
        <w:pStyle w:val="21"/>
        <w:spacing w:before="160"/>
        <w:rPr>
          <w:rFonts w:asciiTheme="majorBidi" w:hAnsiTheme="majorBidi"/>
          <w:color w:val="auto"/>
        </w:rPr>
      </w:pPr>
      <w:r w:rsidRPr="00E0746E">
        <w:rPr>
          <w:rFonts w:asciiTheme="majorBidi" w:hAnsiTheme="majorBidi"/>
        </w:rPr>
        <w:t>8.4 November 2023 FALCON Maintenance as a Transferability Challenge</w:t>
      </w:r>
    </w:p>
    <w:p w14:paraId="568C1831" w14:textId="77777777" w:rsidR="00CB05B6" w:rsidRPr="00E0746E" w:rsidRDefault="00000000">
      <w:pPr>
        <w:spacing w:line="259" w:lineRule="auto"/>
        <w:rPr>
          <w:rFonts w:asciiTheme="majorBidi" w:hAnsiTheme="majorBidi" w:cstheme="majorBidi"/>
        </w:rPr>
      </w:pPr>
      <w:r>
        <w:t xml:space="preserve">The scheduled FALCON maintenance event of 10 November 2023 offers a same-component but operationally different comparison. Cloudflare reported a country- and AS30873-level disruption from approximately 00:10 to 04:45 UTC [32], NetBlocks reported national connectivity at 33% of ordinary levels during the severe period [33], and Global Cloud Xchange confirmed scheduled maintenance [34]; contemporary reporting also documented the outage context [35]. The event is therefore used to test whether qualitative severity/recovery interpretations </w:t>
      </w:r>
      <w:r>
        <w:lastRenderedPageBreak/>
        <w:t>developed from the unplanned 2020 cut transfer to a planned maintenance regime. Because the underlying signals are not identical measurement families, no predictive error such as |0.20-0.33| is reported. Table 6 summarizes the cross-event comparison and interpretive role.</w:t>
      </w:r>
    </w:p>
    <w:p w14:paraId="5788F374" w14:textId="77777777" w:rsidR="00872D73" w:rsidRDefault="00000000">
      <w:pPr>
        <w:pStyle w:val="af0"/>
      </w:pPr>
      <w:r>
        <w:t>Table 6 Cross-event comparison and interpretive role</w:t>
      </w:r>
    </w:p>
    <w:tbl>
      <w:tblPr>
        <w:tblStyle w:val="afa"/>
        <w:tblW w:w="0" w:type="auto"/>
        <w:jc w:val="center"/>
        <w:tblLook w:val="04A0" w:firstRow="1" w:lastRow="0" w:firstColumn="1" w:lastColumn="0" w:noHBand="0" w:noVBand="1"/>
      </w:tblPr>
      <w:tblGrid>
        <w:gridCol w:w="2439"/>
        <w:gridCol w:w="2439"/>
        <w:gridCol w:w="2460"/>
        <w:gridCol w:w="2444"/>
      </w:tblGrid>
      <w:tr w:rsidR="00CB05B6" w:rsidRPr="00E0746E" w14:paraId="707CEEB9" w14:textId="77777777" w:rsidTr="00E0746E">
        <w:trPr>
          <w:cantSplit/>
          <w:tblHeader/>
          <w:jc w:val="center"/>
        </w:trPr>
        <w:tc>
          <w:tcPr>
            <w:tcW w:w="2484" w:type="dxa"/>
            <w:shd w:val="clear" w:color="auto" w:fill="E7E6E6"/>
            <w:tcMar>
              <w:top w:w="70" w:type="dxa"/>
              <w:left w:w="70" w:type="dxa"/>
              <w:bottom w:w="70" w:type="dxa"/>
              <w:right w:w="70" w:type="dxa"/>
            </w:tcMar>
            <w:vAlign w:val="center"/>
          </w:tcPr>
          <w:p w14:paraId="3BF0994F" w14:textId="77777777" w:rsidR="00872D73" w:rsidRDefault="00000000">
            <w:r>
              <w:rPr>
                <w:b/>
              </w:rPr>
              <w:t>Event</w:t>
            </w:r>
          </w:p>
        </w:tc>
        <w:tc>
          <w:tcPr>
            <w:tcW w:w="2484" w:type="dxa"/>
            <w:shd w:val="clear" w:color="auto" w:fill="E7E6E6"/>
            <w:tcMar>
              <w:top w:w="70" w:type="dxa"/>
              <w:left w:w="70" w:type="dxa"/>
              <w:bottom w:w="70" w:type="dxa"/>
              <w:right w:w="70" w:type="dxa"/>
            </w:tcMar>
            <w:vAlign w:val="center"/>
          </w:tcPr>
          <w:p w14:paraId="18364252" w14:textId="77777777" w:rsidR="00872D73" w:rsidRDefault="00000000">
            <w:r>
              <w:rPr>
                <w:b/>
              </w:rPr>
              <w:t>Functional severity</w:t>
            </w:r>
          </w:p>
        </w:tc>
        <w:tc>
          <w:tcPr>
            <w:tcW w:w="2484" w:type="dxa"/>
            <w:shd w:val="clear" w:color="auto" w:fill="E7E6E6"/>
            <w:tcMar>
              <w:top w:w="70" w:type="dxa"/>
              <w:left w:w="70" w:type="dxa"/>
              <w:bottom w:w="70" w:type="dxa"/>
              <w:right w:w="70" w:type="dxa"/>
            </w:tcMar>
            <w:vAlign w:val="center"/>
          </w:tcPr>
          <w:p w14:paraId="749AF65D" w14:textId="77777777" w:rsidR="00872D73" w:rsidRDefault="00000000">
            <w:r>
              <w:rPr>
                <w:b/>
              </w:rPr>
              <w:t>Duration/recovery anchor</w:t>
            </w:r>
          </w:p>
        </w:tc>
        <w:tc>
          <w:tcPr>
            <w:tcW w:w="2484" w:type="dxa"/>
            <w:shd w:val="clear" w:color="auto" w:fill="E7E6E6"/>
            <w:tcMar>
              <w:top w:w="70" w:type="dxa"/>
              <w:left w:w="70" w:type="dxa"/>
              <w:bottom w:w="70" w:type="dxa"/>
              <w:right w:w="70" w:type="dxa"/>
            </w:tcMar>
            <w:vAlign w:val="center"/>
          </w:tcPr>
          <w:p w14:paraId="77EA3EEC" w14:textId="77777777" w:rsidR="00872D73" w:rsidRDefault="00000000">
            <w:r>
              <w:rPr>
                <w:b/>
              </w:rPr>
              <w:t>Interpretive role</w:t>
            </w:r>
          </w:p>
        </w:tc>
      </w:tr>
      <w:tr w:rsidR="00CB05B6" w:rsidRPr="00E0746E" w14:paraId="58F2044B" w14:textId="77777777" w:rsidTr="00E0746E">
        <w:trPr>
          <w:cantSplit/>
          <w:jc w:val="center"/>
        </w:trPr>
        <w:tc>
          <w:tcPr>
            <w:tcW w:w="2484" w:type="dxa"/>
            <w:tcMar>
              <w:top w:w="70" w:type="dxa"/>
              <w:left w:w="70" w:type="dxa"/>
              <w:bottom w:w="70" w:type="dxa"/>
              <w:right w:w="70" w:type="dxa"/>
            </w:tcMar>
            <w:vAlign w:val="center"/>
          </w:tcPr>
          <w:p w14:paraId="03DF2D51" w14:textId="77777777" w:rsidR="00872D73" w:rsidRDefault="00000000">
            <w:r>
              <w:t>FALCON 2020</w:t>
            </w:r>
          </w:p>
        </w:tc>
        <w:tc>
          <w:tcPr>
            <w:tcW w:w="2484" w:type="dxa"/>
            <w:tcMar>
              <w:top w:w="70" w:type="dxa"/>
              <w:left w:w="70" w:type="dxa"/>
              <w:bottom w:w="70" w:type="dxa"/>
              <w:right w:w="70" w:type="dxa"/>
            </w:tcMar>
            <w:vAlign w:val="center"/>
          </w:tcPr>
          <w:p w14:paraId="23DA2484" w14:textId="77777777" w:rsidR="00872D73" w:rsidRDefault="00000000">
            <w:r>
              <w:t>~80% capacity loss; emergency service 20–30%</w:t>
            </w:r>
          </w:p>
        </w:tc>
        <w:tc>
          <w:tcPr>
            <w:tcW w:w="2484" w:type="dxa"/>
            <w:tcMar>
              <w:top w:w="70" w:type="dxa"/>
              <w:left w:w="70" w:type="dxa"/>
              <w:bottom w:w="70" w:type="dxa"/>
              <w:right w:w="70" w:type="dxa"/>
            </w:tcMar>
            <w:vAlign w:val="center"/>
          </w:tcPr>
          <w:p w14:paraId="02B79640" w14:textId="77777777" w:rsidR="00872D73" w:rsidRDefault="00000000">
            <w:r>
              <w:t>Severe loss reported for almost a week; physical repair later reported separately</w:t>
            </w:r>
          </w:p>
        </w:tc>
        <w:tc>
          <w:tcPr>
            <w:tcW w:w="2484" w:type="dxa"/>
            <w:tcMar>
              <w:top w:w="70" w:type="dxa"/>
              <w:left w:w="70" w:type="dxa"/>
              <w:bottom w:w="70" w:type="dxa"/>
              <w:right w:w="70" w:type="dxa"/>
            </w:tcMar>
            <w:vAlign w:val="center"/>
          </w:tcPr>
          <w:p w14:paraId="580BD4DD" w14:textId="77777777" w:rsidR="00872D73" w:rsidRDefault="00000000">
            <w:r>
              <w:t>Primary empirical case; capacity evidence not treated as a universal latent Q(t)</w:t>
            </w:r>
          </w:p>
        </w:tc>
      </w:tr>
      <w:tr w:rsidR="00CB05B6" w:rsidRPr="00E0746E" w14:paraId="2EB6A1B7" w14:textId="77777777" w:rsidTr="00E0746E">
        <w:trPr>
          <w:cantSplit/>
          <w:jc w:val="center"/>
        </w:trPr>
        <w:tc>
          <w:tcPr>
            <w:tcW w:w="2484" w:type="dxa"/>
            <w:tcMar>
              <w:top w:w="70" w:type="dxa"/>
              <w:left w:w="70" w:type="dxa"/>
              <w:bottom w:w="70" w:type="dxa"/>
              <w:right w:w="70" w:type="dxa"/>
            </w:tcMar>
            <w:vAlign w:val="center"/>
          </w:tcPr>
          <w:p w14:paraId="579B9234" w14:textId="77777777" w:rsidR="00872D73" w:rsidRDefault="00000000">
            <w:r>
              <w:t>Yemen outage 2022</w:t>
            </w:r>
          </w:p>
        </w:tc>
        <w:tc>
          <w:tcPr>
            <w:tcW w:w="2484" w:type="dxa"/>
            <w:tcMar>
              <w:top w:w="70" w:type="dxa"/>
              <w:left w:w="70" w:type="dxa"/>
              <w:bottom w:w="70" w:type="dxa"/>
              <w:right w:w="70" w:type="dxa"/>
            </w:tcMar>
            <w:vAlign w:val="center"/>
          </w:tcPr>
          <w:p w14:paraId="0644B062" w14:textId="77777777" w:rsidR="00872D73" w:rsidRDefault="00000000">
            <w:r>
              <w:t>Near-total national connectivity loss</w:t>
            </w:r>
          </w:p>
        </w:tc>
        <w:tc>
          <w:tcPr>
            <w:tcW w:w="2484" w:type="dxa"/>
            <w:tcMar>
              <w:top w:w="70" w:type="dxa"/>
              <w:left w:w="70" w:type="dxa"/>
              <w:bottom w:w="70" w:type="dxa"/>
              <w:right w:w="70" w:type="dxa"/>
            </w:tcMar>
            <w:vAlign w:val="center"/>
          </w:tcPr>
          <w:p w14:paraId="142F4AC3" w14:textId="77777777" w:rsidR="00872D73" w:rsidRDefault="00000000">
            <w:r>
              <w:t>~4 days</w:t>
            </w:r>
          </w:p>
        </w:tc>
        <w:tc>
          <w:tcPr>
            <w:tcW w:w="2484" w:type="dxa"/>
            <w:tcMar>
              <w:top w:w="70" w:type="dxa"/>
              <w:left w:w="70" w:type="dxa"/>
              <w:bottom w:w="70" w:type="dxa"/>
              <w:right w:w="70" w:type="dxa"/>
            </w:tcMar>
            <w:vAlign w:val="center"/>
          </w:tcPr>
          <w:p w14:paraId="7553E64A" w14:textId="77777777" w:rsidR="00872D73" w:rsidRDefault="00000000">
            <w:r>
              <w:t>Qualitative failure-mode challenge</w:t>
            </w:r>
          </w:p>
        </w:tc>
      </w:tr>
      <w:tr w:rsidR="00CB05B6" w:rsidRPr="00E0746E" w14:paraId="5BEADE52" w14:textId="77777777" w:rsidTr="00E0746E">
        <w:trPr>
          <w:cantSplit/>
          <w:jc w:val="center"/>
        </w:trPr>
        <w:tc>
          <w:tcPr>
            <w:tcW w:w="2484" w:type="dxa"/>
            <w:tcMar>
              <w:top w:w="70" w:type="dxa"/>
              <w:left w:w="70" w:type="dxa"/>
              <w:bottom w:w="70" w:type="dxa"/>
              <w:right w:w="70" w:type="dxa"/>
            </w:tcMar>
            <w:vAlign w:val="center"/>
          </w:tcPr>
          <w:p w14:paraId="2F66B4A3" w14:textId="77777777" w:rsidR="00872D73" w:rsidRDefault="00000000">
            <w:r>
              <w:t>FALCON maintenance 2023</w:t>
            </w:r>
          </w:p>
        </w:tc>
        <w:tc>
          <w:tcPr>
            <w:tcW w:w="2484" w:type="dxa"/>
            <w:tcMar>
              <w:top w:w="70" w:type="dxa"/>
              <w:left w:w="70" w:type="dxa"/>
              <w:bottom w:w="70" w:type="dxa"/>
              <w:right w:w="70" w:type="dxa"/>
            </w:tcMar>
            <w:vAlign w:val="center"/>
          </w:tcPr>
          <w:p w14:paraId="122C8BD0" w14:textId="77777777" w:rsidR="00872D73" w:rsidRDefault="00000000">
            <w:r>
              <w:t>National connectivity reported at 33% at severe point</w:t>
            </w:r>
          </w:p>
        </w:tc>
        <w:tc>
          <w:tcPr>
            <w:tcW w:w="2484" w:type="dxa"/>
            <w:tcMar>
              <w:top w:w="70" w:type="dxa"/>
              <w:left w:w="70" w:type="dxa"/>
              <w:bottom w:w="70" w:type="dxa"/>
              <w:right w:w="70" w:type="dxa"/>
            </w:tcMar>
            <w:vAlign w:val="center"/>
          </w:tcPr>
          <w:p w14:paraId="51FC5FB0" w14:textId="77777777" w:rsidR="00872D73" w:rsidRDefault="00000000">
            <w:r>
              <w:t>~275 min main disruption</w:t>
            </w:r>
          </w:p>
        </w:tc>
        <w:tc>
          <w:tcPr>
            <w:tcW w:w="2484" w:type="dxa"/>
            <w:tcMar>
              <w:top w:w="70" w:type="dxa"/>
              <w:left w:w="70" w:type="dxa"/>
              <w:bottom w:w="70" w:type="dxa"/>
              <w:right w:w="70" w:type="dxa"/>
            </w:tcMar>
            <w:vAlign w:val="center"/>
          </w:tcPr>
          <w:p w14:paraId="59EFB475" w14:textId="77777777" w:rsidR="00872D73" w:rsidRDefault="00000000">
            <w:r>
              <w:t>Same-component transferability challenge</w:t>
            </w:r>
          </w:p>
        </w:tc>
      </w:tr>
    </w:tbl>
    <w:p w14:paraId="5C5FC641" w14:textId="77777777" w:rsidR="00CB05B6" w:rsidRPr="00E0746E" w:rsidRDefault="00CB05B6">
      <w:pPr>
        <w:spacing w:line="259" w:lineRule="auto"/>
        <w:rPr>
          <w:rFonts w:asciiTheme="majorBidi" w:hAnsiTheme="majorBidi" w:cstheme="majorBidi"/>
        </w:rPr>
      </w:pPr>
    </w:p>
    <w:p w14:paraId="61459CFA" w14:textId="77777777" w:rsidR="00CB05B6" w:rsidRPr="00E0746E" w:rsidRDefault="00000000">
      <w:pPr>
        <w:pStyle w:val="21"/>
        <w:spacing w:before="160"/>
        <w:rPr>
          <w:rFonts w:asciiTheme="majorBidi" w:hAnsiTheme="majorBidi"/>
          <w:color w:val="auto"/>
        </w:rPr>
      </w:pPr>
      <w:r w:rsidRPr="00E0746E">
        <w:rPr>
          <w:rFonts w:asciiTheme="majorBidi" w:hAnsiTheme="majorBidi"/>
        </w:rPr>
        <w:t>8.5 Main Evidence-Constrained Findings</w:t>
      </w:r>
    </w:p>
    <w:p w14:paraId="46A41C34"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1: The 2020 FALCON event documents routing adaptation in AS30873 while national functional capacity remained severely constrained, showing that adaptation is not equivalent to service restoration.</w:t>
      </w:r>
    </w:p>
    <w:p w14:paraId="20DADA9F"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2: In published normalized IODA plots, acute AS30873 BGP-visibility retention is about 95.7% and active-probing retention about 44.8%, a 50.8-percentage-point descriptive gap (45.8-55.2 across the raster-sensitivity grid). The same plot-derived summary table yields AS30873 phase-specific gaps of 56.1 points in early degradation and 44.6 points post-midnight. AS12486 acute active-probing mean retention is 95.6%, although its median is 100%. These quantities are comparisons of separate proxies, not independent experimental replicates or native time-series estimates.</w:t>
      </w:r>
    </w:p>
    <w:p w14:paraId="0701D68A"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3: The 9 August 2026 BGP snapshot is highly concentrated at the origin level, but this is treated as present-day context rather than evidence that the same concentration existed in January 2020.</w:t>
      </w:r>
    </w:p>
    <w:p w14:paraId="6C901843"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4: The 2023 scheduled FALCON maintenance event is materially different from the unplanned 2020 cut in operational context and duration, so a universal event-independent recovery parameterization is not supported.</w:t>
      </w:r>
    </w:p>
    <w:p w14:paraId="6EFFC204" w14:textId="77777777" w:rsidR="00CB05B6" w:rsidRPr="00E0746E" w:rsidRDefault="00000000">
      <w:pPr>
        <w:pStyle w:val="a0"/>
        <w:rPr>
          <w:rFonts w:asciiTheme="majorBidi" w:hAnsiTheme="majorBidi" w:cstheme="majorBidi"/>
        </w:rPr>
      </w:pPr>
      <w:r>
        <w:t>Finding 5: Route-level BGP change metrics, native-IODA inferential statistics, scalar 27-day resilience-loss estimates, and machine-learning/explainable-AI performance remain withheld pending valid primary-data execution.</w:t>
      </w:r>
    </w:p>
    <w:p w14:paraId="64C30112" w14:textId="77777777" w:rsidR="00CB05B6" w:rsidRPr="00E0746E" w:rsidRDefault="00000000">
      <w:pPr>
        <w:pStyle w:val="21"/>
        <w:spacing w:before="160"/>
        <w:rPr>
          <w:rFonts w:asciiTheme="majorBidi" w:hAnsiTheme="majorBidi"/>
          <w:color w:val="auto"/>
        </w:rPr>
      </w:pPr>
      <w:r w:rsidRPr="00E0746E">
        <w:rPr>
          <w:rFonts w:asciiTheme="majorBidi" w:hAnsiTheme="majorBidi"/>
        </w:rPr>
        <w:t>8.6 Sensitivity Analysis of Plot-Derived IODA Evidence</w:t>
      </w:r>
    </w:p>
    <w:p w14:paraId="280D05DA"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raster-sensitivity analysis evaluates the stability of the primary descriptive result under plausible alternatives for event-window placement, baseline placement, axis calibration, color matching, and mean-versus-median aggregation. The AS30873 acute gap ranged from 45.8 to 55.2 percentage points across 20,250 parameter combinations, with the 5th-95th percentile of the evaluated grid at 47.5-53.4 points. These settings are not independent experiments: RGB tolerance and y-axis scale were nearly invariant and many results repeat. Consequently, these percentiles describe robustness across analyst choices, not a probabilistic confidence interval. A separate four-window analysis of existing aggregate plot-derived values shows phase variation and AS12486 mean/median sensitivity (Fig. 4; Online Resource 1), but cannot verify temporal autocorrelation, sampling error, or sub-window dynamics.</w:t>
      </w:r>
    </w:p>
    <w:p w14:paraId="16A64EC5"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9. Robustness and Evidence Boundaries</w:t>
      </w:r>
    </w:p>
    <w:p w14:paraId="0528957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The principal robustness rule is measurement and provenance consistency. Observed, inferred, derived, and simulated quantities are not promoted across evidence classes. For the central plot-derived IODA result, robustness is additionally tested through a full-factorial digitization/window sensitivity grid; the structural-functional </w:t>
      </w:r>
      <w:r w:rsidRPr="00E0746E">
        <w:rPr>
          <w:rFonts w:asciiTheme="majorBidi" w:hAnsiTheme="majorBidi" w:cstheme="majorBidi"/>
        </w:rPr>
        <w:lastRenderedPageBreak/>
        <w:t>divergence remains 45.8-55.2 percentage points. The generated settings are not treated as independent experiments, and dimensions that were invariant over the tested range are reported as such. The 2020 and 2023 events are compared only for transferability of interpretation, and heterogeneous signals are not converted into a predictive-error statistic. The 2022 event remains a qualitative failure-mode challenge. Unvalidated route-level metrics and mapping-branch effect sizes remain withheld until historical MRT/BGPStream reconstruction and event-time cross-layer mapping are executed with comparable vantage points.</w:t>
      </w:r>
    </w:p>
    <w:p w14:paraId="00FB9F8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current evidence supports the structural-functional divergence claim at the aggregate measurement-signal level, supports the robustness of that conclusion to reasonable raster extraction choices, and supports present-day origin concentration as contextual evidence. It does not support topology-wide ranking of the strongest dependencies, empirical intervention effect sizes, stochastic semi-Markov estimates, or machine-learning performance.</w:t>
      </w:r>
    </w:p>
    <w:p w14:paraId="50248E1B"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10. Discussion</w:t>
      </w:r>
    </w:p>
    <w:p w14:paraId="256C9042" w14:textId="77777777" w:rsidR="00CB05B6" w:rsidRPr="00E0746E" w:rsidRDefault="00000000">
      <w:pPr>
        <w:pStyle w:val="21"/>
        <w:spacing w:before="160"/>
        <w:rPr>
          <w:rFonts w:asciiTheme="majorBidi" w:hAnsiTheme="majorBidi"/>
          <w:color w:val="auto"/>
        </w:rPr>
      </w:pPr>
      <w:r w:rsidRPr="00E0746E">
        <w:rPr>
          <w:rFonts w:asciiTheme="majorBidi" w:hAnsiTheme="majorBidi"/>
        </w:rPr>
        <w:t>10.1 Beyond Provider Counts</w:t>
      </w:r>
    </w:p>
    <w:p w14:paraId="50E6E8E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2020 case supports a distinction between nominal and effective redundancy. AS30873 reportedly failed over after loss of an AS15412 dependency, but service remained severely constrained. This does not prove that a specific alternative physical topology would have solved the event; rather, it demonstrates why counting providers or routes is insufficient without testing whether the alternatives remain independent under the initiating failure mode.</w:t>
      </w:r>
    </w:p>
    <w:p w14:paraId="4580BC5B" w14:textId="77777777" w:rsidR="00CB05B6" w:rsidRPr="00E0746E" w:rsidRDefault="00000000">
      <w:pPr>
        <w:pStyle w:val="21"/>
        <w:spacing w:before="160"/>
        <w:rPr>
          <w:rFonts w:asciiTheme="majorBidi" w:hAnsiTheme="majorBidi"/>
          <w:color w:val="auto"/>
        </w:rPr>
      </w:pPr>
      <w:r w:rsidRPr="00E0746E">
        <w:rPr>
          <w:rFonts w:asciiTheme="majorBidi" w:hAnsiTheme="majorBidi"/>
        </w:rPr>
        <w:t>10.2 Why Structural Reachability Is Not Enough</w:t>
      </w:r>
    </w:p>
    <w:p w14:paraId="76C6C6D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strongest empirical message is not the generic discovery that BGP and forwarding-plane evidence can diverge; this is established in [8,9]. The paper instead describes a substantial, event-specific discrepancy between separately normalized visibility and active-probing proxies during a known FALCON cable failure. Existing plot-derived phases show AS30873 gap variation of 56.1 to 44.6 percentage points across early, acute, and post-midnight windows, but these aggregate medians do not constitute a high-resolution recovery curve. Conversely, AS12486's acute active-probing median stayed at baseline while the mean declined modestly; a median alone can hide transient losses. These descriptive diagnostics reinforce the case for retaining signal-specific evidence. Native IODA historical exports and carefully reconstructed MRT observations are still needed before attributing route-level effects or estimating population-wide service loss.</w:t>
      </w:r>
    </w:p>
    <w:p w14:paraId="42C854B8" w14:textId="77777777" w:rsidR="00CB05B6" w:rsidRPr="00E0746E" w:rsidRDefault="00000000">
      <w:pPr>
        <w:pStyle w:val="21"/>
        <w:spacing w:before="160"/>
        <w:rPr>
          <w:rFonts w:asciiTheme="majorBidi" w:hAnsiTheme="majorBidi"/>
          <w:color w:val="auto"/>
        </w:rPr>
      </w:pPr>
      <w:r w:rsidRPr="00E0746E">
        <w:rPr>
          <w:rFonts w:asciiTheme="majorBidi" w:hAnsiTheme="majorBidi"/>
        </w:rPr>
        <w:t>10.3 Recovery as a Distinct Dimension</w:t>
      </w:r>
    </w:p>
    <w:p w14:paraId="1A66EC7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Recovery remains a distinct dimension, but the present evidence does not justify a single continuous national Q(t) trace across the full 2020 recovery period. Capacity reports, active probing, BGP visibility, and 2023 connectivity measurements are therefore kept separate. The contrast between the prolonged unplanned 2020 disruption and the much shorter scheduled 2023 maintenance event illustrates that an event-independent recovery parameterization is not supported by the available cases. Because the events differ in operational context and measurement family, this comparison is not presented as a general law of event-class dependence or as a direct comparison of commensurable resilience integrals.</w:t>
      </w:r>
    </w:p>
    <w:p w14:paraId="798B427C" w14:textId="77777777" w:rsidR="00CB05B6" w:rsidRPr="00E0746E" w:rsidRDefault="00000000">
      <w:pPr>
        <w:pStyle w:val="21"/>
        <w:spacing w:before="160"/>
        <w:rPr>
          <w:rFonts w:asciiTheme="majorBidi" w:hAnsiTheme="majorBidi"/>
          <w:color w:val="auto"/>
        </w:rPr>
      </w:pPr>
      <w:r w:rsidRPr="00E0746E">
        <w:rPr>
          <w:rFonts w:asciiTheme="majorBidi" w:hAnsiTheme="majorBidi"/>
        </w:rPr>
        <w:t>10.4 Policy and Engineering Implications</w:t>
      </w:r>
    </w:p>
    <w:p w14:paraId="6E828F6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For resilience planning, the defensible implication is to test independence under the relevant failure mode rather than rely on nominal provider counts. A logically different upstream that still shares the failed physical dependency cannot protect against that same failure mode by definition; benefit from physical diversity should therefore be treated as an engineering design condition to be verified in an instantiated topology, not as an empirical intervention effect demonstrated by this paper. This interpretation is consistent with international emphasis on geographic diversity, infrastructure redundancy, preparedness, and timely repair [1,2] and with broader network-resilience design principles [20,24]. The paper does not estimate the cost, deployable capacity, or optimal siting of alternative infrastructure, and it intentionally excludes sensitive operational location details.</w:t>
      </w:r>
    </w:p>
    <w:p w14:paraId="21C41BBE" w14:textId="77777777" w:rsidR="00CB05B6" w:rsidRPr="00E0746E" w:rsidRDefault="00000000">
      <w:pPr>
        <w:pStyle w:val="21"/>
        <w:spacing w:before="160"/>
        <w:rPr>
          <w:rFonts w:asciiTheme="majorBidi" w:hAnsiTheme="majorBidi"/>
          <w:color w:val="auto"/>
        </w:rPr>
      </w:pPr>
      <w:r w:rsidRPr="00E0746E">
        <w:rPr>
          <w:rFonts w:asciiTheme="majorBidi" w:hAnsiTheme="majorBidi"/>
        </w:rPr>
        <w:t>10.5 Relation to Contemporary Cross-Layer and Multilayer Work</w:t>
      </w:r>
    </w:p>
    <w:p w14:paraId="7B68F9D9"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Nautilus [3] and Calypso [5] inform the mapping problem, Xaminer [4] provides a benchmark for cross-layer exposure analysis, and recent multilayer/shared-risk work [6,7] demonstrates that architecture alone is no longer a </w:t>
      </w:r>
      <w:r w:rsidRPr="00E0746E">
        <w:rPr>
          <w:rFonts w:asciiTheme="majorBidi" w:hAnsiTheme="majorBidi" w:cstheme="majorBidi"/>
        </w:rPr>
        <w:lastRenderedPageBreak/>
        <w:t>sufficient novelty claim. Likewise, earlier and contemporary outage studies already establish control-/forwarding-plane divergence as a general measurement phenomenon [8,9]. The contribution retained here is therefore deliberately narrower: an event-based, measurement-aware demonstration of a large divergence during a known submarine-cable disruption, a quantitative robustness analysis of the available raster-derived signal comparison, and disciplined interpretation of present-day resource-origin concentration. A future raw-data extension using native IODA time series and BGPStream/MRT would permit stronger event-time multilayer and route-level claims that are intentionally withheld in this version.</w:t>
      </w:r>
    </w:p>
    <w:p w14:paraId="0545F205"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11. Limitations</w:t>
      </w:r>
    </w:p>
    <w:p w14:paraId="67626AC7" w14:textId="77777777" w:rsidR="00CB05B6" w:rsidRPr="00E0746E" w:rsidRDefault="00000000">
      <w:pPr>
        <w:pStyle w:val="a0"/>
        <w:rPr>
          <w:rFonts w:asciiTheme="majorBidi" w:hAnsiTheme="majorBidi" w:cstheme="majorBidi"/>
        </w:rPr>
      </w:pPr>
      <w:r w:rsidRPr="00E0746E">
        <w:rPr>
          <w:rFonts w:asciiTheme="majorBidi" w:hAnsiTheme="majorBidi" w:cstheme="majorBidi"/>
        </w:rPr>
        <w:t>Public routing and measurement data provide partial Internet visibility and cannot recover proprietary operator traffic matrices or internal topology.</w:t>
      </w:r>
    </w:p>
    <w:p w14:paraId="45A740A4" w14:textId="77777777" w:rsidR="00CB05B6" w:rsidRPr="00E0746E" w:rsidRDefault="00000000">
      <w:pPr>
        <w:pStyle w:val="a0"/>
        <w:rPr>
          <w:rFonts w:asciiTheme="majorBidi" w:hAnsiTheme="majorBidi" w:cstheme="majorBidi"/>
        </w:rPr>
      </w:pPr>
      <w:r w:rsidRPr="00E0746E">
        <w:rPr>
          <w:rFonts w:asciiTheme="majorBidi" w:hAnsiTheme="majorBidi" w:cstheme="majorBidi"/>
        </w:rPr>
        <w:t>Public submarine cable maps often generalize cable routes; precise route coordinates are intentionally neither required nor reported.</w:t>
      </w:r>
    </w:p>
    <w:p w14:paraId="3C67A015" w14:textId="77777777" w:rsidR="00CB05B6" w:rsidRPr="00E0746E" w:rsidRDefault="00000000">
      <w:pPr>
        <w:pStyle w:val="a0"/>
        <w:rPr>
          <w:rFonts w:asciiTheme="majorBidi" w:hAnsiTheme="majorBidi" w:cstheme="majorBidi"/>
        </w:rPr>
      </w:pPr>
      <w:r w:rsidRPr="00E0746E">
        <w:rPr>
          <w:rFonts w:asciiTheme="majorBidi" w:hAnsiTheme="majorBidi" w:cstheme="majorBidi"/>
        </w:rPr>
        <w:t>Historical evidence sources measure different constructs (capacity, BGP visibility, active reachability, and country-level connectivity/traffic). They are analyzed as separate measurement families and are not treated as interchangeable observations of one latent national-performance variable.</w:t>
      </w:r>
    </w:p>
    <w:p w14:paraId="6E750A8F"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2020 IODA comparison is digitized from normalized raster plots and supports only bounded descriptive inference. A full-factorial grid yields an AS30873 gap of 45.8-55.2 percentage points across 20,250 parameter settings, not independent experiments. The 5th-95th percentile across these settings is not a confidence interval. The phase comparison likewise uses existing window-summary aggregates, rather than raw timestamped IODA samples; unequal raster-column counts and absent pixel-level source images limit independent checking, fine-scale temporal alignment, autocorrelation modeling, recovery estimation, and sampling uncertainty. The AS12486 acute mean/median difference further shows the danger of claiming no impact from a stable median. Native IODA samples remain preferable for inferential work [28].</w:t>
      </w:r>
    </w:p>
    <w:p w14:paraId="1B23145A" w14:textId="77777777" w:rsidR="00CB05B6" w:rsidRPr="00E0746E" w:rsidRDefault="00000000">
      <w:pPr>
        <w:pStyle w:val="a0"/>
        <w:rPr>
          <w:rFonts w:asciiTheme="majorBidi" w:hAnsiTheme="majorBidi" w:cstheme="majorBidi"/>
        </w:rPr>
      </w:pPr>
      <w:r w:rsidRPr="00E0746E">
        <w:rPr>
          <w:rFonts w:asciiTheme="majorBidi" w:hAnsiTheme="majorBidi" w:cstheme="majorBidi"/>
        </w:rPr>
        <w:t>Historical BGP route-level metrics for 2020/2022/2023 are not released. A prior RIPEstat checkpoint bundle contained empty route states. Later exploratory RIPE RIS collection retrieved candidate January 2020 origin observations (109 candidate prefixes for AS30873 and 7 for AS12486 in the selected rrc00 query), but the downloader also logged HTTP transfer errors, preventing any claim of complete event-time inventory or validated route-state reconstruction. These acquisition limitations are not interpreted as zero routes. Historical replay requires a verified event-time prefix inventory, compatible RIS/RouteViews collectors and peer IPs, an initial RIB, and all relevant announcements AND withdrawals. In particular, an origin-AS filter on updates may omit originless withdrawal messages; the supplementary guarded offline replay instead prescribes prefix-scoped updates without that filter. Full historical prefix coverage and peer liveness must be audited before population-level PVR/ROR, provider churn, AS-path inflation, or path-diversity estimates can be released [25,26].</w:t>
      </w:r>
    </w:p>
    <w:p w14:paraId="2BD072AD" w14:textId="77777777" w:rsidR="00CB05B6" w:rsidRPr="00E0746E" w:rsidRDefault="00000000">
      <w:pPr>
        <w:pStyle w:val="a0"/>
        <w:rPr>
          <w:rFonts w:asciiTheme="majorBidi" w:hAnsiTheme="majorBidi" w:cstheme="majorBidi"/>
        </w:rPr>
      </w:pPr>
      <w:r w:rsidRPr="00E0746E">
        <w:rPr>
          <w:rFonts w:asciiTheme="majorBidi" w:hAnsiTheme="majorBidi" w:cstheme="majorBidi"/>
        </w:rPr>
        <w:t>Representative mobile-operator prefixes sharing AS30873 demonstrate a resource–origin dependency pattern but do not prove that every resource or all operator traffic shares the same path.</w:t>
      </w:r>
    </w:p>
    <w:p w14:paraId="76CC103D"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study does not estimate empirical intervention effects or the available capacity of a physically independent alternative. The discussion of shared versus independent failure dependencies is an engineering implication of the dependency definitions and should not be read as measured superiority of a deployed intervention.</w:t>
      </w:r>
    </w:p>
    <w:p w14:paraId="0D97F99C" w14:textId="77777777" w:rsidR="00CB05B6" w:rsidRPr="00E0746E" w:rsidRDefault="00000000">
      <w:pPr>
        <w:pStyle w:val="a0"/>
        <w:rPr>
          <w:rFonts w:asciiTheme="majorBidi" w:hAnsiTheme="majorBidi" w:cstheme="majorBidi"/>
        </w:rPr>
      </w:pPr>
      <w:r>
        <w:t>Machine learning and explainable artificial intelligence are omitted because the available historical events are too few and heterogeneous, and deterministic scenario-grid rows do not constitute independent empirical training evidence.</w:t>
      </w:r>
    </w:p>
    <w:p w14:paraId="1A4F9C7B"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Red Sea–Yemen corridor is an analytical scope definition and should not be interpreted as a formally designated telecommunications corridor.</w:t>
      </w:r>
    </w:p>
    <w:p w14:paraId="7B32E71B"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12. Reproducibility and Research Integrity</w:t>
      </w:r>
    </w:p>
    <w:p w14:paraId="6AD90180" w14:textId="3D01DABF" w:rsidR="00CB05B6" w:rsidRPr="00E0746E" w:rsidRDefault="00000000">
      <w:pPr>
        <w:spacing w:line="259" w:lineRule="auto"/>
        <w:rPr>
          <w:rFonts w:asciiTheme="majorBidi" w:hAnsiTheme="majorBidi" w:cstheme="majorBidi"/>
        </w:rPr>
      </w:pPr>
      <w:r>
        <w:t>The work separates OBSERVED, INFERRED, DERIVED, and SIMULATED evidence. Online Resource 1 contains source aggregates, an August 2026 frozen BGP-origin snapshot, code, figures, provenance, sensitivity-grid results, and a reviewer-facing README. The updated `reproduce_all.py` entry point recalculates concentration HHI and the central plot-derived IODA gap, verifies saved sensitivity bounds, computes a four-window mean/median audit, and generates Figures 2-4 from redistributed evidence. `phase_audit.py` regenerates the new Table S1 and Figure 4. `validate_native_ioda.py` enforces source identity, minimum sample and coverage rules on future native downloads; `historical_bgp_replay_v2.py` preserves withdrawal handling and unique collector-peer-IP identity for future historical BGP extracts. Automated code guardrails and derived-evidence reproduction tests have passed; however, native January 2020 IODA measurements have not been recovered from the tested APIs, and no complete, validated event-time BGP replay has been released. Native November 2023 IODA measurements were subsequently retrieved and analyzed in the research repository, but the resulting numerical analysis has not yet been incorporated into this manuscript. No route-level metrics are claimed. Figure-level pixel digitization from third-party source images remains non-reproducible from the redistributed bundle alone. Release of stronger results is contingent upon separately validated raw data.</w:t>
      </w:r>
    </w:p>
    <w:p w14:paraId="221B6DB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13. Conclusion</w:t>
      </w:r>
    </w:p>
    <w:p w14:paraId="114D7DD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National Internet resilience should not be inferred from control-plane visibility or nominal provider counts alone. Independent sources associate the January 2020 FALCON cut with severe loss of international capacity despite routing adaptation [29,30]. From published normalized IODA plots, acute AS30873 BGP-visibility and active-probing proxy retention are 95.7% and 44.8%, respectively, yielding a 50.8-point descriptive divergence (45.8-55.2 under raster/window sensitivity variations). A secondary audit of the existing plot-derived summaries finds the gap at 56.1 points during early degradation and 44.6 points post-midnight; AS12486 retains a baseline-level active-probing median yet has a 95.6% acute-window mean. These phase/summary-statistic contrasts expose the limits of one fixed window or statistic; they do not imply native time-series validation. Current origin concentration (2026) is contextual rather than a reconstructed 2020 topology, and comparison with 2023 scheduled maintenance remains qualitative. The defensible inference is that measurement-specific visibility, functional reachability, and physically independent alternatives must be assessed separately. Event-time native IODA and MRT/BGPStream data are still prerequisites for topology-wide cascades, quantified route failover, and causal intervention-effect claims.</w:t>
      </w:r>
      <w:r w:rsidRPr="00E0746E">
        <w:rPr>
          <w:rFonts w:asciiTheme="majorBidi" w:hAnsiTheme="majorBidi" w:cstheme="majorBidi"/>
        </w:rPr>
      </w:r>
    </w:p>
    <w:p w14:paraId="64E28CCE"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References</w:t>
      </w:r>
    </w:p>
    <w:p w14:paraId="6240AEE6" w14:textId="77777777" w:rsidR="00CB05B6" w:rsidRPr="00E0746E" w:rsidRDefault="00000000">
      <w:pPr>
        <w:spacing w:after="60" w:line="240" w:lineRule="auto"/>
        <w:ind w:left="317" w:hanging="317"/>
        <w:rPr>
          <w:rFonts w:asciiTheme="majorBidi" w:hAnsiTheme="majorBidi" w:cstheme="majorBidi"/>
        </w:rPr>
      </w:pPr>
      <w:r>
        <w:rPr>
          <w:color w:val="000000"/>
          <w:sz w:val="19"/>
        </w:rPr>
        <w:t>[1] International Telecommunication Union. (2026). International Advisory Body approves landmark report to strengthen submarine cable resilience. ITU, 10 July 2026.</w:t>
      </w:r>
    </w:p>
    <w:p w14:paraId="66829541" w14:textId="77777777" w:rsidR="00CB05B6" w:rsidRPr="00E0746E" w:rsidRDefault="00000000">
      <w:pPr>
        <w:spacing w:after="60" w:line="240" w:lineRule="auto"/>
        <w:ind w:left="317" w:hanging="317"/>
        <w:rPr>
          <w:rFonts w:asciiTheme="majorBidi" w:hAnsiTheme="majorBidi" w:cstheme="majorBidi"/>
        </w:rPr>
      </w:pPr>
      <w:r>
        <w:rPr>
          <w:color w:val="000000"/>
          <w:sz w:val="19"/>
        </w:rPr>
        <w:t>[2] International Telecommunication Union &amp; International Cable Protection Committee. (2026). IAB Working Group Recommendations: Timely Deployment &amp; Repair; Risk Identification, Monitoring &amp; Mitigation; Fostering Connectivity &amp; Geographic Diversity. Accessed 9 August 2026.</w:t>
      </w:r>
    </w:p>
    <w:p w14:paraId="3AA4C770"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[3] Ramanathan, A., &amp; Abdu Jyothi, S. (2023). Nautilus: A framework for cross-layer cartography of submarine cables and IP links. </w:t>
      </w:r>
      <w:r>
        <w:rPr>
          <w:i/>
          <w:color w:val="000000"/>
          <w:sz w:val="19"/>
        </w:rPr>
        <w:t>Proceedings of the ACM on Measurement and Analysis of Computing Systems</w:t>
      </w:r>
      <w:r>
        <w:rPr>
          <w:color w:val="000000"/>
          <w:sz w:val="19"/>
        </w:rPr>
        <w:t>, 7(3), Article 46. https://doi.org/10.1145/3626777</w:t>
      </w:r>
    </w:p>
    <w:p w14:paraId="5E83F1F2"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[4] Ramanathan, A., Sankaran, R., &amp; Abdu Jyothi, S. (2024). Xaminer: An Internet cross-layer resilience analysis tool. </w:t>
      </w:r>
      <w:r>
        <w:rPr>
          <w:i/>
          <w:color w:val="000000"/>
          <w:sz w:val="19"/>
        </w:rPr>
        <w:t>Proceedings of the ACM on Measurement and Analysis of Computing Systems</w:t>
      </w:r>
      <w:r>
        <w:rPr>
          <w:color w:val="000000"/>
          <w:sz w:val="19"/>
        </w:rPr>
        <w:t>, 8(1), Article 16. https://doi.org/10.1145/3639042</w:t>
      </w:r>
    </w:p>
    <w:p w14:paraId="06E5BE17"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t xml:space="preserve">[5] Wang, C. J., Zhang, Y., Dong, Q., Carisimo, E., Durairajan, R., &amp; Bustamante, F. E. (2025). </w:t>
      </w:r>
      <w:r>
        <w:rPr>
          <w:color w:val="000000"/>
          <w:sz w:val="19"/>
        </w:rPr>
        <w:t>Threading the ocean: Mapping digital routes across submarine cables using Calypso. ACM SIGCOMM 2025. https://doi.org/10.1145/3718958.3750512</w:t>
      </w:r>
    </w:p>
    <w:p w14:paraId="36BA1E6C" w14:textId="77777777" w:rsidR="00CB05B6" w:rsidRPr="00E0746E" w:rsidRDefault="00000000">
      <w:pPr>
        <w:spacing w:after="60" w:line="240" w:lineRule="auto"/>
        <w:ind w:left="317" w:hanging="317"/>
        <w:rPr>
          <w:rFonts w:asciiTheme="majorBidi" w:hAnsiTheme="majorBidi" w:cstheme="majorBidi"/>
        </w:rPr>
      </w:pPr>
      <w:r>
        <w:rPr>
          <w:color w:val="000000"/>
          <w:sz w:val="19"/>
        </w:rPr>
        <w:t>[6] Lang, B., Roughan, M., &amp; Ye, M. (2026). Robustness analysis of Australia's Internet using a multilayer network model. arXiv:2606.18737. https://doi.org/10.48550/arXiv.2606.18737</w:t>
      </w:r>
    </w:p>
    <w:p w14:paraId="1D2DD334" w14:textId="77777777" w:rsidR="00CB05B6" w:rsidRPr="00E0746E" w:rsidRDefault="00000000">
      <w:pPr>
        <w:spacing w:after="60" w:line="240" w:lineRule="auto"/>
        <w:ind w:left="317" w:hanging="317"/>
        <w:rPr>
          <w:rFonts w:asciiTheme="majorBidi" w:hAnsiTheme="majorBidi" w:cstheme="majorBidi"/>
        </w:rPr>
      </w:pPr>
      <w:r>
        <w:rPr>
          <w:color w:val="000000"/>
          <w:sz w:val="19"/>
        </w:rPr>
        <w:t>[7] Wu, W., &amp; Neumueller, A. (2026). Bitcoin under stress: Measuring infrastructure resilience 2014–2025. arXiv:2602.14372. https://doi.org/10.48550/arXiv.2602.14372</w:t>
      </w:r>
    </w:p>
    <w:p w14:paraId="020C2DB0"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[8] Dainotti, A., Squarcella, C., Aben, E., Claffy, K. C., Chiesa, M., Russo, M., &amp; Pescapè, A. (2014). Analysis of country-wide Internet outages caused by censorship. </w:t>
      </w:r>
      <w:r>
        <w:rPr>
          <w:i/>
          <w:color w:val="000000"/>
          <w:sz w:val="19"/>
        </w:rPr>
        <w:t>IEEE/ACM Transactions on Networking</w:t>
      </w:r>
      <w:r>
        <w:rPr>
          <w:color w:val="000000"/>
          <w:sz w:val="19"/>
        </w:rPr>
        <w:t>, 22(6), 1964–1977. https://doi.org/10.1109/TNET.2013.2291244</w:t>
      </w:r>
    </w:p>
    <w:p w14:paraId="28416A78" w14:textId="77777777" w:rsidR="00CB05B6" w:rsidRPr="00E0746E" w:rsidRDefault="00000000">
      <w:pPr>
        <w:spacing w:after="60" w:line="240" w:lineRule="auto"/>
        <w:ind w:left="317" w:hanging="317"/>
        <w:rPr>
          <w:rFonts w:asciiTheme="majorBidi" w:hAnsiTheme="majorBidi" w:cstheme="majorBidi"/>
        </w:rPr>
      </w:pPr>
      <w:r>
        <w:rPr>
          <w:color w:val="000000"/>
          <w:sz w:val="19"/>
        </w:rPr>
        <w:t>[9] Jahromi, A. S., &amp; Jaskolka, J. (2026). A multi-perspective study of the Internet shutdown in Iran. arXiv:2605.00187. https://doi.org/10.48550/arXiv.2605.00187</w:t>
      </w:r>
    </w:p>
    <w:p w14:paraId="709E338B" w14:textId="77777777" w:rsidR="00CB05B6" w:rsidRPr="00E0746E" w:rsidRDefault="00000000">
      <w:pPr>
        <w:spacing w:after="60" w:line="240" w:lineRule="auto"/>
        <w:ind w:left="317" w:hanging="317"/>
        <w:rPr>
          <w:rFonts w:asciiTheme="majorBidi" w:hAnsiTheme="majorBidi" w:cstheme="majorBidi"/>
        </w:rPr>
      </w:pPr>
      <w:r>
        <w:rPr>
          <w:color w:val="000000"/>
          <w:sz w:val="19"/>
        </w:rPr>
        <w:t>[10] Weaver, M., Veitch, D., Barford, P., Bustamante, F. E., &amp; Carisimo, E. (2026). Monitoring latency on submarine cables: Limitations and opportunities. 1st New Ideas in Networked Systems (NINeS 2026), OASIcs, 139, 16:1–16:24. https://doi.org/10.4230/OASIcs.NINeS.2026.16</w:t>
      </w:r>
    </w:p>
    <w:p w14:paraId="002C43F3" w14:textId="77777777" w:rsidR="00CB05B6" w:rsidRPr="005F263E" w:rsidRDefault="00000000">
      <w:pPr>
        <w:spacing w:after="60" w:line="240" w:lineRule="auto"/>
        <w:ind w:left="317" w:hanging="317"/>
        <w:rPr>
          <w:rFonts w:asciiTheme="majorBidi" w:hAnsiTheme="majorBidi" w:cstheme="majorBidi"/>
          <w:lang w:val="es-US"/>
        </w:rPr>
      </w:pPr>
      <w:r>
        <w:rPr>
          <w:color w:val="000000"/>
          <w:sz w:val="19"/>
        </w:rPr>
        <w:t xml:space="preserve">[11] Owen, R., Bryant, A. R., Finch, L., Franklin, D., Abdollahi, M., &amp; Abolhasan, M. (2025). Failures and resilience in the IP era: Navigating the fragility of modern telecommunications networks—The sovereign functions. </w:t>
      </w:r>
      <w:r w:rsidRPr="005F263E">
        <w:rPr>
          <w:i/>
          <w:color w:val="000000"/>
          <w:sz w:val="19"/>
          <w:lang w:val="es-US"/>
        </w:rPr>
        <w:t>IEEE Access</w:t>
      </w:r>
      <w:r w:rsidRPr="005F263E">
        <w:rPr>
          <w:color w:val="000000"/>
          <w:sz w:val="19"/>
          <w:lang w:val="es-US"/>
        </w:rPr>
        <w:t>, 13, 155759–155777. https://doi.org/10.1109/ACCESS.2025.3602054</w:t>
      </w:r>
    </w:p>
    <w:p w14:paraId="3D377CD9"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t xml:space="preserve">[12] Venkatasubramanian, B. V., Laoudias, C., &amp; Panteli, M. (2025). </w:t>
      </w:r>
      <w:r>
        <w:rPr>
          <w:color w:val="000000"/>
          <w:sz w:val="19"/>
        </w:rPr>
        <w:t xml:space="preserve">Cascading failures and resilience in interdependent critical infrastructures: A dynamic approach. </w:t>
      </w:r>
      <w:r>
        <w:rPr>
          <w:i/>
          <w:color w:val="000000"/>
          <w:sz w:val="19"/>
        </w:rPr>
        <w:t>IEEE Systems Journal</w:t>
      </w:r>
      <w:r>
        <w:rPr>
          <w:color w:val="000000"/>
          <w:sz w:val="19"/>
        </w:rPr>
        <w:t>. https://doi.org/10.1109/JSYST.2025.3629327</w:t>
      </w:r>
    </w:p>
    <w:p w14:paraId="14BD53D3"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[13] Caetano, H. O., Desuó Neto, L., Fogliatto, M. S. S., &amp; Maciel, C. D. (2024). Resilience assessment of critical infrastructures using dynamic Bayesian networks and evidence propagation. </w:t>
      </w:r>
      <w:r>
        <w:rPr>
          <w:i/>
          <w:color w:val="000000"/>
          <w:sz w:val="19"/>
        </w:rPr>
        <w:t>Reliability Engineering &amp; System Safety</w:t>
      </w:r>
      <w:r>
        <w:rPr>
          <w:color w:val="000000"/>
          <w:sz w:val="19"/>
        </w:rPr>
        <w:t>, 241, 109691. https://doi.org/10.1016/j.ress.2023.109691</w:t>
      </w:r>
    </w:p>
    <w:p w14:paraId="3E456FFD"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[14] Cavalieri, F., &amp; Franchin, P. (2020). Seismic risk of infrastructure systems with treatment of and sensitivity to epistemic uncertainty. </w:t>
      </w:r>
      <w:r>
        <w:rPr>
          <w:i/>
          <w:color w:val="000000"/>
          <w:sz w:val="19"/>
        </w:rPr>
        <w:t>Infrastructures</w:t>
      </w:r>
      <w:r>
        <w:rPr>
          <w:color w:val="000000"/>
          <w:sz w:val="19"/>
        </w:rPr>
        <w:t>, 5(11), 103. https://doi.org/10.3390/infrastructures5110103</w:t>
      </w:r>
    </w:p>
    <w:p w14:paraId="08E60871" w14:textId="77777777" w:rsidR="00CB05B6" w:rsidRPr="005F263E" w:rsidRDefault="00000000">
      <w:pPr>
        <w:spacing w:after="60" w:line="240" w:lineRule="auto"/>
        <w:ind w:left="317" w:hanging="317"/>
        <w:rPr>
          <w:rFonts w:asciiTheme="majorBidi" w:hAnsiTheme="majorBidi" w:cstheme="majorBidi"/>
          <w:lang w:val="es-US"/>
        </w:rPr>
      </w:pPr>
      <w:r>
        <w:rPr>
          <w:color w:val="000000"/>
          <w:sz w:val="19"/>
        </w:rPr>
        <w:t xml:space="preserve">[15] Liu, X., Zio, E., Borgonovo, E., &amp; Plischke, E. (2024). A systematic approach of global sensitivity analysis and its application to a model for the quantification of resilience of interconnected critical infrastructures. </w:t>
      </w:r>
      <w:r w:rsidRPr="005F263E">
        <w:rPr>
          <w:i/>
          <w:color w:val="000000"/>
          <w:sz w:val="19"/>
          <w:lang w:val="es-US"/>
        </w:rPr>
        <w:t>Energies</w:t>
      </w:r>
      <w:r w:rsidRPr="005F263E">
        <w:rPr>
          <w:color w:val="000000"/>
          <w:sz w:val="19"/>
          <w:lang w:val="es-US"/>
        </w:rPr>
        <w:t>, 17(8), 1823. https://doi.org/10.3390/en17081823</w:t>
      </w:r>
    </w:p>
    <w:p w14:paraId="7BDE8E1F"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lastRenderedPageBreak/>
        <w:t xml:space="preserve">[16] Ferrario, E., Pedroni, N., &amp; Zio, E. (2015). </w:t>
      </w:r>
      <w:r>
        <w:rPr>
          <w:color w:val="000000"/>
          <w:sz w:val="19"/>
        </w:rPr>
        <w:t xml:space="preserve">Analysis of the robustness and recovery of critical infrastructures within a multistate system-of-systems framework in the presence of epistemic uncertainty. </w:t>
      </w:r>
      <w:r>
        <w:rPr>
          <w:i/>
          <w:color w:val="000000"/>
          <w:sz w:val="19"/>
        </w:rPr>
        <w:t>ASCE-ASME Journal of Risk and Uncertainty in Engineering Systems, Part B</w:t>
      </w:r>
      <w:r>
        <w:rPr>
          <w:color w:val="000000"/>
          <w:sz w:val="19"/>
        </w:rPr>
        <w:t>, 1(3), 031001. https://doi.org/10.1115/1.4030439</w:t>
      </w:r>
    </w:p>
    <w:p w14:paraId="23FF2882"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[17] Johansen, C., &amp; Tien, I. (2018). Probabilistic multi-scale modeling of interdependencies between critical infrastructure systems for resilience. </w:t>
      </w:r>
      <w:r>
        <w:rPr>
          <w:i/>
          <w:color w:val="000000"/>
          <w:sz w:val="19"/>
        </w:rPr>
        <w:t>Sustainable and Resilient Infrastructure</w:t>
      </w:r>
      <w:r>
        <w:rPr>
          <w:color w:val="000000"/>
          <w:sz w:val="19"/>
        </w:rPr>
        <w:t>, 3(1), 1–15. https://doi.org/10.1080/23789689.2017.1345253</w:t>
      </w:r>
    </w:p>
    <w:p w14:paraId="0EC1D6C6"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[18] Mottahedi, A., Sereshki, F., Ataei, M., Nouri Qarahasanlou, A., &amp; Barabadi, A. (2021). The resilience of critical infrastructure systems: A systematic literature review. </w:t>
      </w:r>
      <w:r>
        <w:rPr>
          <w:i/>
          <w:color w:val="000000"/>
          <w:sz w:val="19"/>
        </w:rPr>
        <w:t>Energies</w:t>
      </w:r>
      <w:r>
        <w:rPr>
          <w:color w:val="000000"/>
          <w:sz w:val="19"/>
        </w:rPr>
        <w:t>, 14(6), 1571. https://doi.org/10.3390/en14061571</w:t>
      </w:r>
    </w:p>
    <w:p w14:paraId="3D5931B6"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[19] Omer, M., Nilchiani, R., &amp; Mostashari, A. (2009). Measuring the resilience of the trans-oceanic telecommunication cable system. </w:t>
      </w:r>
      <w:r>
        <w:rPr>
          <w:i/>
          <w:color w:val="000000"/>
          <w:sz w:val="19"/>
        </w:rPr>
        <w:t>IEEE Systems Journal</w:t>
      </w:r>
      <w:r>
        <w:rPr>
          <w:color w:val="000000"/>
          <w:sz w:val="19"/>
        </w:rPr>
        <w:t>, 3(3), 295–303. https://doi.org/10.1109/JSYST.2009.2022570</w:t>
      </w:r>
    </w:p>
    <w:p w14:paraId="21D4ED68"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[20] Sterbenz, J. P. G., Hutchison, D., Çetinkaya, E. K., Jabbar, A., Rohrer, J. P., Schöller, M., &amp; Smith, P. (2014). Redundancy, diversity, and connectivity to achieve multilevel network resilience, survivability, and disruption tolerance. </w:t>
      </w:r>
      <w:r>
        <w:rPr>
          <w:i/>
          <w:color w:val="000000"/>
          <w:sz w:val="19"/>
        </w:rPr>
        <w:t>Telecommunication Systems</w:t>
      </w:r>
      <w:r>
        <w:rPr>
          <w:color w:val="000000"/>
          <w:sz w:val="19"/>
        </w:rPr>
        <w:t>, 56(1), 17–31. https://doi.org/10.1007/s11235-013-9816-9</w:t>
      </w:r>
    </w:p>
    <w:p w14:paraId="00A483E7" w14:textId="77777777" w:rsidR="00CB05B6" w:rsidRPr="00E0746E" w:rsidRDefault="00000000">
      <w:pPr>
        <w:spacing w:after="60" w:line="240" w:lineRule="auto"/>
        <w:ind w:left="317" w:hanging="317"/>
        <w:rPr>
          <w:rFonts w:asciiTheme="majorBidi" w:hAnsiTheme="majorBidi" w:cstheme="majorBidi"/>
        </w:rPr>
      </w:pPr>
      <w:r>
        <w:rPr>
          <w:color w:val="000000"/>
          <w:sz w:val="19"/>
        </w:rPr>
        <w:t>[21] Rohrer, J. P., Jabbar, A., &amp; Sterbenz, J. P. G. (2009). Path diversification: A multipath resilience mechanism. In 7th International Workshop on Design of Reliable Communication Networks (DRCN 2009) (pp. 343–351). https://doi.org/10.1109/DRCN.2009.5339988</w:t>
      </w:r>
    </w:p>
    <w:p w14:paraId="4264F595"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[22] Ashraf, M., Idrus, S. M., Iqbal, F., Butt, R. A., &amp; Faheem, M. (2018). Disaster-resilient optical network survivability: A comprehensive survey. </w:t>
      </w:r>
      <w:r>
        <w:rPr>
          <w:i/>
          <w:color w:val="000000"/>
          <w:sz w:val="19"/>
        </w:rPr>
        <w:t>Photonics</w:t>
      </w:r>
      <w:r>
        <w:rPr>
          <w:color w:val="000000"/>
          <w:sz w:val="19"/>
        </w:rPr>
        <w:t>, 5(4), 35. https://doi.org/10.3390/photonics5040035</w:t>
      </w:r>
    </w:p>
    <w:p w14:paraId="362E259B"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t xml:space="preserve">[23] de Sousa, A., Rak, J., Barbosa, F., Santos, D., &amp; Mehta, D. (2020). </w:t>
      </w:r>
      <w:r>
        <w:rPr>
          <w:color w:val="000000"/>
          <w:sz w:val="19"/>
        </w:rPr>
        <w:t xml:space="preserve">Improving the survivability of carrier networks to large-scale disasters. In J. Rak &amp; D. Hutchison (Eds.), </w:t>
      </w:r>
      <w:r>
        <w:rPr>
          <w:i/>
          <w:color w:val="000000"/>
          <w:sz w:val="19"/>
        </w:rPr>
        <w:t>Guide to Disaster-Resilient Communication Networks</w:t>
      </w:r>
      <w:r>
        <w:rPr>
          <w:color w:val="000000"/>
          <w:sz w:val="19"/>
        </w:rPr>
        <w:t xml:space="preserve"> (pp. 175–192). Springer. https://doi.org/10.1007/978-3-030-44685-7_7</w:t>
      </w:r>
    </w:p>
    <w:p w14:paraId="23656D66"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[24] Wan, Y., Feng, C., Wu, K., &amp; Wang, J. (2024). RZDD: Risk zone-diversified network design for disaster resilience. </w:t>
      </w:r>
      <w:r>
        <w:rPr>
          <w:i/>
          <w:color w:val="000000"/>
          <w:sz w:val="19"/>
        </w:rPr>
        <w:t>IEEE Transactions on Dependable and Secure Computing</w:t>
      </w:r>
      <w:r>
        <w:rPr>
          <w:color w:val="000000"/>
          <w:sz w:val="19"/>
        </w:rPr>
        <w:t>. https://doi.org/10.1109/TDSC.2024.3406703</w:t>
      </w:r>
    </w:p>
    <w:p w14:paraId="05229D7A" w14:textId="77777777" w:rsidR="00CB05B6" w:rsidRPr="00E0746E" w:rsidRDefault="00000000">
      <w:pPr>
        <w:spacing w:after="60" w:line="240" w:lineRule="auto"/>
        <w:ind w:left="317" w:hanging="317"/>
        <w:rPr>
          <w:rFonts w:asciiTheme="majorBidi" w:hAnsiTheme="majorBidi" w:cstheme="majorBidi"/>
        </w:rPr>
      </w:pPr>
      <w:r>
        <w:rPr>
          <w:color w:val="000000"/>
          <w:sz w:val="19"/>
        </w:rPr>
        <w:t>[25] RIPE NCC. (2024). Routing Information Service (RIS): Route Collection Raw Data—MRT Files documentation.</w:t>
      </w:r>
    </w:p>
    <w:p w14:paraId="1C00065F" w14:textId="77777777" w:rsidR="00CB05B6" w:rsidRPr="00E0746E" w:rsidRDefault="00000000">
      <w:pPr>
        <w:spacing w:after="60" w:line="240" w:lineRule="auto"/>
        <w:ind w:left="317" w:hanging="317"/>
        <w:rPr>
          <w:rFonts w:asciiTheme="majorBidi" w:hAnsiTheme="majorBidi" w:cstheme="majorBidi"/>
        </w:rPr>
      </w:pPr>
      <w:r>
        <w:rPr>
          <w:color w:val="000000"/>
          <w:sz w:val="19"/>
        </w:rPr>
        <w:t>[26] CAIDA. (2026). BGPStream documentation and data-provider interfaces for Route Views and RIPE RIS historical BGP data. Accessed 9 August 2026.</w:t>
      </w:r>
    </w:p>
    <w:p w14:paraId="48013511" w14:textId="77777777" w:rsidR="00CB05B6" w:rsidRPr="00E0746E" w:rsidRDefault="00000000">
      <w:pPr>
        <w:spacing w:after="60" w:line="240" w:lineRule="auto"/>
        <w:ind w:left="317" w:hanging="317"/>
        <w:rPr>
          <w:rFonts w:asciiTheme="majorBidi" w:hAnsiTheme="majorBidi" w:cstheme="majorBidi"/>
        </w:rPr>
      </w:pPr>
      <w:r>
        <w:rPr>
          <w:color w:val="000000"/>
          <w:sz w:val="19"/>
        </w:rPr>
        <w:t>[27] RIPE NCC. (2026). RIPE Atlas measurement platform documentation. Accessed 9 August 2026.</w:t>
      </w:r>
    </w:p>
    <w:p w14:paraId="715D9CBF" w14:textId="77777777" w:rsidR="00CB05B6" w:rsidRPr="00E0746E" w:rsidRDefault="00000000">
      <w:pPr>
        <w:spacing w:after="60" w:line="240" w:lineRule="auto"/>
        <w:ind w:left="317" w:hanging="317"/>
        <w:rPr>
          <w:rFonts w:asciiTheme="majorBidi" w:hAnsiTheme="majorBidi" w:cstheme="majorBidi"/>
        </w:rPr>
      </w:pPr>
      <w:r>
        <w:rPr>
          <w:color w:val="000000"/>
          <w:sz w:val="19"/>
        </w:rPr>
        <w:t>[28] Internet Outage Detection and Analysis (IODA). (2026). IODA Resources and HTTP API documentation. Georgia Institute of Technology Internet Intelligence Lab. Accessed 9 August 2026.</w:t>
      </w:r>
    </w:p>
    <w:p w14:paraId="2F5347D8" w14:textId="77777777" w:rsidR="00CB05B6" w:rsidRPr="00E0746E" w:rsidRDefault="00000000">
      <w:pPr>
        <w:spacing w:after="60" w:line="240" w:lineRule="auto"/>
        <w:ind w:left="317" w:hanging="317"/>
        <w:rPr>
          <w:rFonts w:asciiTheme="majorBidi" w:hAnsiTheme="majorBidi" w:cstheme="majorBidi"/>
        </w:rPr>
      </w:pPr>
      <w:r>
        <w:rPr>
          <w:color w:val="000000"/>
          <w:sz w:val="19"/>
        </w:rPr>
        <w:t>[29] World Bank. (2020). Yemen Monthly Economic Update, January 2020. World Bank.</w:t>
      </w:r>
    </w:p>
    <w:p w14:paraId="28F7F812" w14:textId="77777777" w:rsidR="00CB05B6" w:rsidRPr="00E0746E" w:rsidRDefault="00000000">
      <w:pPr>
        <w:spacing w:after="60" w:line="240" w:lineRule="auto"/>
        <w:ind w:left="317" w:hanging="317"/>
        <w:rPr>
          <w:rFonts w:asciiTheme="majorBidi" w:hAnsiTheme="majorBidi" w:cstheme="majorBidi"/>
        </w:rPr>
      </w:pPr>
      <w:r>
        <w:rPr>
          <w:color w:val="000000"/>
          <w:sz w:val="19"/>
        </w:rPr>
        <w:t>[30] Belson, D. (2020). Internet Disruption Report: January 2020. Internet Disruption Report.</w:t>
      </w:r>
    </w:p>
    <w:p w14:paraId="4BF492C5" w14:textId="77777777" w:rsidR="00CB05B6" w:rsidRPr="00E0746E" w:rsidRDefault="00000000">
      <w:pPr>
        <w:spacing w:after="60" w:line="240" w:lineRule="auto"/>
        <w:ind w:left="317" w:hanging="317"/>
        <w:rPr>
          <w:rFonts w:asciiTheme="majorBidi" w:hAnsiTheme="majorBidi" w:cstheme="majorBidi"/>
        </w:rPr>
      </w:pPr>
      <w:r>
        <w:rPr>
          <w:color w:val="000000"/>
          <w:sz w:val="19"/>
        </w:rPr>
        <w:t>[31] NetBlocks. (2022). Internet connectivity knocked out in Yemen after airstrike. January 2022.</w:t>
      </w:r>
    </w:p>
    <w:p w14:paraId="00AF6D4E" w14:textId="77777777" w:rsidR="00CB05B6" w:rsidRPr="00E0746E" w:rsidRDefault="00000000">
      <w:pPr>
        <w:spacing w:after="60" w:line="240" w:lineRule="auto"/>
        <w:ind w:left="317" w:hanging="317"/>
        <w:rPr>
          <w:rFonts w:asciiTheme="majorBidi" w:hAnsiTheme="majorBidi" w:cstheme="majorBidi"/>
        </w:rPr>
      </w:pPr>
      <w:r>
        <w:rPr>
          <w:color w:val="000000"/>
          <w:sz w:val="19"/>
        </w:rPr>
        <w:t>[32] Cloudflare. (2024). Q4 2023 Internet Disruption Summary. Cloudflare Radar/Blog.</w:t>
      </w:r>
    </w:p>
    <w:p w14:paraId="650105BA" w14:textId="77777777" w:rsidR="00CB05B6" w:rsidRPr="00E0746E" w:rsidRDefault="00000000">
      <w:pPr>
        <w:spacing w:after="60" w:line="240" w:lineRule="auto"/>
        <w:ind w:left="317" w:hanging="317"/>
        <w:rPr>
          <w:rFonts w:asciiTheme="majorBidi" w:hAnsiTheme="majorBidi" w:cstheme="majorBidi"/>
        </w:rPr>
      </w:pPr>
      <w:r>
        <w:rPr>
          <w:color w:val="000000"/>
          <w:sz w:val="19"/>
        </w:rPr>
        <w:t>[33] NetBlocks. (2023). YemenNet outage metrics: Overall national connectivity at 33% of ordinary levels. 10 November 2023.</w:t>
      </w:r>
    </w:p>
    <w:p w14:paraId="734599D8" w14:textId="77777777" w:rsidR="00CB05B6" w:rsidRPr="00E0746E" w:rsidRDefault="00000000">
      <w:pPr>
        <w:spacing w:after="60" w:line="240" w:lineRule="auto"/>
        <w:ind w:left="317" w:hanging="317"/>
        <w:rPr>
          <w:rFonts w:asciiTheme="majorBidi" w:hAnsiTheme="majorBidi" w:cstheme="majorBidi"/>
        </w:rPr>
      </w:pPr>
      <w:r>
        <w:rPr>
          <w:color w:val="000000"/>
          <w:sz w:val="19"/>
        </w:rPr>
        <w:t>[34] Global Cloud Xchange. (2023). Clarification: Yemen Internet Outage. GCX.</w:t>
      </w:r>
    </w:p>
    <w:p w14:paraId="502BE0A3" w14:textId="77777777" w:rsidR="00CB05B6" w:rsidRPr="00E0746E" w:rsidRDefault="00000000">
      <w:pPr>
        <w:spacing w:after="60" w:line="240" w:lineRule="auto"/>
        <w:ind w:left="317" w:hanging="317"/>
        <w:rPr>
          <w:rFonts w:asciiTheme="majorBidi" w:hAnsiTheme="majorBidi" w:cstheme="majorBidi"/>
        </w:rPr>
      </w:pPr>
      <w:r>
        <w:rPr>
          <w:color w:val="000000"/>
          <w:sz w:val="19"/>
        </w:rPr>
        <w:t>[35] Gambrell, J. (2023). Internet collapses in war-torn Yemen over 'maintenance' involving undersea line. Associated Press, 10 November 2023.</w:t>
      </w:r>
    </w:p>
    <w:p w14:paraId="3E55C015" w14:textId="77777777" w:rsidR="00CB05B6" w:rsidRPr="00E0746E" w:rsidRDefault="00000000">
      <w:pPr>
        <w:spacing w:after="60" w:line="240" w:lineRule="auto"/>
        <w:ind w:left="317" w:hanging="317"/>
        <w:rPr>
          <w:rFonts w:asciiTheme="majorBidi" w:hAnsiTheme="majorBidi" w:cstheme="majorBidi"/>
        </w:rPr>
      </w:pPr>
      <w:r>
        <w:rPr>
          <w:color w:val="000000"/>
          <w:sz w:val="19"/>
        </w:rPr>
        <w:t>[36] bgp.tools. (2026). Public BGP origin snapshots for AS30873, AS12486, and AS204317, frozen/assembled 9 August 2026. Accessed 9 August 2026.</w:t>
      </w:r>
    </w:p>
    <w:p w14:paraId="7AB6AA8F" w14:textId="77777777" w:rsidR="00872D73" w:rsidRDefault="00000000">
      <w:pPr>
        <w:pStyle w:val="1"/>
        <w:spacing w:before="160" w:after="80"/>
      </w:pPr>
      <w:r>
        <w:rPr>
          <w:rFonts w:ascii="Times New Roman" w:hAnsi="Times New Roman"/>
        </w:rPr>
        <w:t>Statements and Declarations</w:t>
      </w:r>
    </w:p>
    <w:p w14:paraId="4CBA3459" w14:textId="77777777" w:rsidR="00872D73" w:rsidRDefault="00000000">
      <w:pPr>
        <w:pStyle w:val="21"/>
        <w:spacing w:before="160"/>
      </w:pPr>
      <w:r>
        <w:rPr>
          <w:rFonts w:ascii="Times New Roman" w:hAnsi="Times New Roman"/>
        </w:rPr>
        <w:t>Funding</w:t>
      </w:r>
    </w:p>
    <w:p w14:paraId="1E7712AD" w14:textId="77777777" w:rsidR="00872D73" w:rsidRDefault="00000000">
      <w:pPr>
        <w:spacing w:line="259" w:lineRule="auto"/>
      </w:pPr>
      <w:r>
        <w:t>No funding was received for conducting this study or for the preparation of this manuscript.</w:t>
      </w:r>
    </w:p>
    <w:p w14:paraId="5914303E" w14:textId="77777777" w:rsidR="00872D73" w:rsidRDefault="00000000">
      <w:pPr>
        <w:pStyle w:val="21"/>
        <w:spacing w:before="160"/>
      </w:pPr>
      <w:r>
        <w:rPr>
          <w:rFonts w:ascii="Times New Roman" w:hAnsi="Times New Roman"/>
        </w:rPr>
        <w:t>Competing interests</w:t>
      </w:r>
    </w:p>
    <w:p w14:paraId="768B999B" w14:textId="77777777" w:rsidR="00872D73" w:rsidRDefault="00000000">
      <w:pPr>
        <w:spacing w:line="259" w:lineRule="auto"/>
      </w:pPr>
      <w:r>
        <w:t>The authors have no relevant financial or non-financial interests to disclose.</w:t>
      </w:r>
    </w:p>
    <w:p w14:paraId="6490BC67" w14:textId="77777777" w:rsidR="00872D73" w:rsidRDefault="00000000">
      <w:pPr>
        <w:pStyle w:val="21"/>
        <w:spacing w:before="160"/>
      </w:pPr>
      <w:r>
        <w:rPr>
          <w:rFonts w:ascii="Times New Roman" w:hAnsi="Times New Roman"/>
        </w:rPr>
        <w:t>Data availability</w:t>
      </w:r>
    </w:p>
    <w:p w14:paraId="1F98A73E" w14:textId="77777777" w:rsidR="00872D73" w:rsidRDefault="00000000">
      <w:pPr>
        <w:spacing w:line="259" w:lineRule="auto"/>
      </w:pPr>
      <w:r>
        <w:t>Public or research-accessible evidence sources include RIPE RIS [25], CAIDA BGPStream [26], RIPE Atlas [27], IODA [28], public event reports [29–35], and the public BGP-origin source used for the frozen present-day snapshot [36]. Online Resource 1 contains the plot-derived IODA evidence and provenance used in the manuscript, the complete raster-sensitivity output, a frozen prefix-level BGP-origin snapshot (bgp_origin_snapshot_2026-08-</w:t>
      </w:r>
      <w:r>
        <w:lastRenderedPageBreak/>
        <w:t>09.csv) from which HHI is recalculated, and primary-data acquisition/reconstruction scripts. Third-party raw data remain subject to provider terms.</w:t>
      </w:r>
    </w:p>
    <w:p w14:paraId="3E54B79C" w14:textId="77777777" w:rsidR="00872D73" w:rsidRDefault="00000000">
      <w:pPr>
        <w:pStyle w:val="21"/>
        <w:spacing w:before="160"/>
      </w:pPr>
      <w:r>
        <w:rPr>
          <w:rFonts w:ascii="Times New Roman" w:hAnsi="Times New Roman"/>
        </w:rPr>
        <w:t>Code availability</w:t>
      </w:r>
    </w:p>
    <w:p w14:paraId="5314BD74" w14:textId="77777777" w:rsidR="00872D73" w:rsidRDefault="00000000">
      <w:pPr>
        <w:spacing w:line="259" w:lineRule="auto"/>
      </w:pPr>
      <w:r>
        <w:t>Online Resource 1 contains a reproduction entry point that recalculates the locally supportable numerical results and figures, together with the IODA raw-signal acquisition script, the historical BGPStream/MRT reconstruction script, and validation checks that prevent empty or non-comparable raw inputs from being converted into results.</w:t>
      </w:r>
    </w:p>
    <w:p w14:paraId="5DB4E68D" w14:textId="77777777" w:rsidR="00872D73" w:rsidRDefault="00000000">
      <w:pPr>
        <w:pStyle w:val="21"/>
        <w:spacing w:before="160"/>
      </w:pPr>
      <w:r>
        <w:rPr>
          <w:rFonts w:ascii="Times New Roman" w:hAnsi="Times New Roman"/>
        </w:rPr>
        <w:t>Ethics approval</w:t>
      </w:r>
    </w:p>
    <w:p w14:paraId="7FFDA023" w14:textId="77777777" w:rsidR="00872D73" w:rsidRDefault="00000000">
      <w:pPr>
        <w:spacing w:line="259" w:lineRule="auto"/>
      </w:pPr>
      <w:r>
        <w:t>Not applicable. The study used public and aggregate telecommunications and Internet-measurement data and involved no human participants or animals.</w:t>
      </w:r>
    </w:p>
    <w:p w14:paraId="3FF554A7" w14:textId="77777777" w:rsidR="00872D73" w:rsidRDefault="00000000">
      <w:pPr>
        <w:pStyle w:val="21"/>
        <w:spacing w:before="160"/>
      </w:pPr>
      <w:r>
        <w:rPr>
          <w:rFonts w:ascii="Times New Roman" w:hAnsi="Times New Roman"/>
        </w:rPr>
        <w:t>Ethics, security and dual-use statement</w:t>
      </w:r>
    </w:p>
    <w:p w14:paraId="41BD60E9" w14:textId="77777777" w:rsidR="00872D73" w:rsidRDefault="00000000">
      <w:pPr>
        <w:spacing w:line="259" w:lineRule="auto"/>
      </w:pPr>
      <w:r>
        <w:t>The study addresses defensive telecommunications resilience. It uses public and aggregate information and intentionally excludes precise vulnerable infrastructure coordinates, operational sabotage instructions, target-selection logic, and unsupported conflict attribution. Historical event attribution is separated from observed disruption evidence unless independently confirmed.</w:t>
      </w:r>
    </w:p>
    <w:p w14:paraId="193BA71C" w14:textId="77777777" w:rsidR="00872D73" w:rsidRDefault="00000000">
      <w:pPr>
        <w:pStyle w:val="21"/>
        <w:spacing w:before="160"/>
      </w:pPr>
      <w:r>
        <w:rPr>
          <w:rFonts w:ascii="Times New Roman" w:hAnsi="Times New Roman"/>
        </w:rPr>
        <w:t>Supplementary information</w:t>
      </w:r>
    </w:p>
    <w:p w14:paraId="20869632" w14:textId="4E8D3ED4" w:rsidR="00872D73" w:rsidRDefault="00000000">
      <w:pPr>
        <w:spacing w:line="259" w:lineRule="auto"/>
      </w:pPr>
      <w:r>
        <w:t>Online Resource 1 (</w:t>
      </w:r>
      <w:r w:rsidR="00F32BC1">
        <w:t>ESM</w:t>
      </w:r>
      <w:r>
        <w:t>.zip): reproducibility package containing supporting data, analysis code, robustness results, figures, provenance files, validation logs, and primary-data acquisition/reconstruction scripts.</w:t>
      </w:r>
    </w:p>
    <w:sectPr w:rsidR="00872D73"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E006B" w14:textId="77777777" w:rsidR="00B36B82" w:rsidRDefault="00B36B82">
      <w:pPr>
        <w:spacing w:after="0" w:line="240" w:lineRule="auto"/>
      </w:pPr>
      <w:r>
        <w:separator/>
      </w:r>
    </w:p>
  </w:endnote>
  <w:endnote w:type="continuationSeparator" w:id="0">
    <w:p w14:paraId="1626A827" w14:textId="77777777" w:rsidR="00B36B82" w:rsidRDefault="00B36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FCA072" w14:textId="77777777" w:rsidR="00B36B82" w:rsidRDefault="00B36B82">
      <w:pPr>
        <w:spacing w:after="0" w:line="240" w:lineRule="auto"/>
      </w:pPr>
      <w:r>
        <w:separator/>
      </w:r>
    </w:p>
  </w:footnote>
  <w:footnote w:type="continuationSeparator" w:id="0">
    <w:p w14:paraId="6249608C" w14:textId="77777777" w:rsidR="00B36B82" w:rsidRDefault="00B36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6350596">
    <w:abstractNumId w:val="8"/>
  </w:num>
  <w:num w:numId="2" w16cid:durableId="899747754">
    <w:abstractNumId w:val="6"/>
  </w:num>
  <w:num w:numId="3" w16cid:durableId="419985120">
    <w:abstractNumId w:val="5"/>
  </w:num>
  <w:num w:numId="4" w16cid:durableId="382874667">
    <w:abstractNumId w:val="4"/>
  </w:num>
  <w:num w:numId="5" w16cid:durableId="1445265971">
    <w:abstractNumId w:val="7"/>
  </w:num>
  <w:num w:numId="6" w16cid:durableId="1756365709">
    <w:abstractNumId w:val="3"/>
  </w:num>
  <w:num w:numId="7" w16cid:durableId="1756200123">
    <w:abstractNumId w:val="2"/>
  </w:num>
  <w:num w:numId="8" w16cid:durableId="1045249478">
    <w:abstractNumId w:val="1"/>
  </w:num>
  <w:num w:numId="9" w16cid:durableId="83572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6CA"/>
    <w:rsid w:val="0029639D"/>
    <w:rsid w:val="00326F90"/>
    <w:rsid w:val="0057516F"/>
    <w:rsid w:val="005F263E"/>
    <w:rsid w:val="008655D3"/>
    <w:rsid w:val="00872D73"/>
    <w:rsid w:val="00935103"/>
    <w:rsid w:val="00A60D4E"/>
    <w:rsid w:val="00A92813"/>
    <w:rsid w:val="00AA1D8D"/>
    <w:rsid w:val="00AE1512"/>
    <w:rsid w:val="00B36B82"/>
    <w:rsid w:val="00B47730"/>
    <w:rsid w:val="00C12839"/>
    <w:rsid w:val="00CB05B6"/>
    <w:rsid w:val="00CB0664"/>
    <w:rsid w:val="00E0746E"/>
    <w:rsid w:val="00ED3111"/>
    <w:rsid w:val="00F32BC1"/>
    <w:rsid w:val="00F34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7914A9"/>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Times New Roman" w:eastAsia="Times New Roman" w:hAnsi="Times New Roman"/>
      <w:sz w:val="21"/>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14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000000"/>
      <w:sz w:val="19"/>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8042</Words>
  <Characters>45844</Characters>
  <Application>Microsoft Office Word</Application>
  <DocSecurity>0</DocSecurity>
  <Lines>382</Lines>
  <Paragraphs>107</Paragraphs>
  <ScaleCrop>false</ScaleCrop>
  <HeadingPairs>
    <vt:vector size="2" baseType="variant">
      <vt:variant>
        <vt:lpstr>العنوان</vt:lpstr>
      </vt:variant>
      <vt:variant>
        <vt:i4>1</vt:i4>
      </vt:variant>
    </vt:vector>
  </HeadingPairs>
  <TitlesOfParts>
    <vt:vector size="1" baseType="lpstr">
      <vt:lpstr/>
    </vt:vector>
  </TitlesOfParts>
  <Manager/>
  <Company/>
  <LinksUpToDate>false</LinksUpToDate>
  <CharactersWithSpaces>53779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2026-08-09T15:17:00Z</dcterms:created>
  <dcterms:modified xsi:type="dcterms:W3CDTF">2026-08-09T16:53:00Z</dcterms:modified>
  <cp:category/>
</cp:coreProperties>
</file>