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AA4172" w14:textId="77777777" w:rsidR="00F255C8" w:rsidRDefault="00000000">
      <w:pPr>
        <w:jc w:val="right"/>
      </w:pPr>
      <w:r>
        <w:t>9 August 2026</w:t>
      </w:r>
    </w:p>
    <w:p w14:paraId="6F9D6D15" w14:textId="77777777" w:rsidR="00F255C8" w:rsidRDefault="00000000">
      <w:r>
        <w:t xml:space="preserve">Dear Editors of </w:t>
      </w:r>
      <w:r>
        <w:rPr>
          <w:i/>
        </w:rPr>
        <w:t>Telecommunication Systems</w:t>
      </w:r>
      <w:r>
        <w:t>,</w:t>
      </w:r>
    </w:p>
    <w:p w14:paraId="056EA117" w14:textId="77777777" w:rsidR="00F255C8" w:rsidRDefault="00000000">
      <w:r>
        <w:t>Re: Submission of the Research Article “</w:t>
      </w:r>
      <w:r>
        <w:rPr>
          <w:i/>
        </w:rPr>
        <w:t>Structural-Functional Divergence During Submarine-Cable Disruptions: Evidence from Yemen's FALCON Dependence</w:t>
      </w:r>
      <w:r>
        <w:t>”</w:t>
      </w:r>
    </w:p>
    <w:p w14:paraId="0026968C" w14:textId="77777777" w:rsidR="00F255C8" w:rsidRDefault="00000000">
      <w:pPr>
        <w:spacing w:after="160" w:line="252" w:lineRule="auto"/>
      </w:pPr>
      <w:r>
        <w:t>Please consider our manuscript for publication as a Research Article in Telecommunication Systems. The study examines national Internet resilience during submarine-cable disruption through measurement-family-specific analysis of BGP control-plane visibility, active reachability, reported international capacity, and country-level connectivity indicators, using Yemen’s dependence on the FALCON submarine cable as the empirical setting.</w:t>
      </w:r>
    </w:p>
    <w:p w14:paraId="636A2C42" w14:textId="77777777" w:rsidR="00F255C8" w:rsidRDefault="00000000">
      <w:pPr>
        <w:spacing w:after="160" w:line="252" w:lineRule="auto"/>
      </w:pPr>
      <w:r>
        <w:t>The manuscript’s main contribution is an event-specific analysis showing that control-plane visibility can remain near baseline while functional reachability deteriorates substantially during a physically anchored telecommunications disruption. For the January 2020 FALCON event, the published normalized IODA evidence indicates approximately 95.7% retention of the BGP-visibility proxy for AS30873 compared with approximately 44.8% retention of the active-probing proxy, a descriptive divergence of about 50.8 percentage points. A full-factorial robustness analysis shows that this divergence remains between 45.8 and 55.2 percentage points across plausible digitization and window choices.</w:t>
      </w:r>
    </w:p>
    <w:p w14:paraId="7B30D10B" w14:textId="77777777" w:rsidR="00F255C8" w:rsidRDefault="00000000">
      <w:pPr>
        <w:spacing w:after="160" w:line="252" w:lineRule="auto"/>
      </w:pPr>
      <w:r>
        <w:t>We believe the manuscript is well aligned with Telecommunication Systems because it addresses telecommunications-network resilience, reliability and availability, interconnection dependencies, routing behavior, and the interpretation of service continuity under physical infrastructure failure. The paper also emphasizes reproducibility and evidence discipline: heterogeneous measurement families are kept analytically distinct, unsupported route-level and machine-learning claims are withheld, and the accompanying Online Resource 1 provides supporting data, code, provenance, robustness outputs, and reproducibility scripts.</w:t>
      </w:r>
    </w:p>
    <w:p w14:paraId="1AD07EE5" w14:textId="77777777" w:rsidR="00F255C8" w:rsidRDefault="00000000">
      <w:pPr>
        <w:spacing w:after="160" w:line="252" w:lineRule="auto"/>
      </w:pPr>
      <w:r>
        <w:t>The manuscript is original research, all authors have reviewed and approved the submitted version, and the authors declare no relevant financial or non-financial competing interests. Thank you for considering our work. We would be grateful for the opportunity to have it evaluated by the journal’s reviewers.</w:t>
      </w:r>
    </w:p>
    <w:p w14:paraId="4BA0E03F" w14:textId="77777777" w:rsidR="00F255C8" w:rsidRDefault="00000000">
      <w:r>
        <w:t>Sincerely,</w:t>
      </w:r>
    </w:p>
    <w:p w14:paraId="75C7AE8B" w14:textId="77777777" w:rsidR="00F255C8" w:rsidRDefault="00000000">
      <w:r>
        <w:rPr>
          <w:b/>
        </w:rPr>
        <w:t>Abdullateef Ali</w:t>
      </w:r>
    </w:p>
    <w:p w14:paraId="08800CA6" w14:textId="77777777" w:rsidR="00F255C8" w:rsidRDefault="00000000">
      <w:r>
        <w:t>Corresponding Author</w:t>
      </w:r>
    </w:p>
    <w:p w14:paraId="3372036A" w14:textId="77777777" w:rsidR="00F255C8" w:rsidRDefault="00000000">
      <w:r>
        <w:t>Faculty of Engineering and Information Technology</w:t>
      </w:r>
    </w:p>
    <w:p w14:paraId="37F9BB72" w14:textId="77777777" w:rsidR="00F255C8" w:rsidRDefault="00000000">
      <w:r>
        <w:t>Taiz University, Taiz, Yemen</w:t>
      </w:r>
    </w:p>
    <w:p w14:paraId="0298D843" w14:textId="108AE6AA" w:rsidR="00F255C8" w:rsidRDefault="00000000">
      <w:r>
        <w:t xml:space="preserve">Email: </w:t>
      </w:r>
      <w:r w:rsidR="00675CA2" w:rsidRPr="00675CA2">
        <w:t>abullateef.ali@taiz.edu.ye</w:t>
      </w:r>
    </w:p>
    <w:sectPr w:rsidR="00F255C8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203459" w14:textId="77777777" w:rsidR="00A351C5" w:rsidRDefault="00A351C5" w:rsidP="00675CA2">
      <w:pPr>
        <w:spacing w:after="0" w:line="240" w:lineRule="auto"/>
      </w:pPr>
      <w:r>
        <w:separator/>
      </w:r>
    </w:p>
  </w:endnote>
  <w:endnote w:type="continuationSeparator" w:id="0">
    <w:p w14:paraId="2FD55034" w14:textId="77777777" w:rsidR="00A351C5" w:rsidRDefault="00A351C5" w:rsidP="00675C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FE3DC6" w14:textId="77777777" w:rsidR="00A351C5" w:rsidRDefault="00A351C5" w:rsidP="00675CA2">
      <w:pPr>
        <w:spacing w:after="0" w:line="240" w:lineRule="auto"/>
      </w:pPr>
      <w:r>
        <w:separator/>
      </w:r>
    </w:p>
  </w:footnote>
  <w:footnote w:type="continuationSeparator" w:id="0">
    <w:p w14:paraId="4F6348D7" w14:textId="77777777" w:rsidR="00A351C5" w:rsidRDefault="00A351C5" w:rsidP="00675C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245240">
    <w:abstractNumId w:val="8"/>
  </w:num>
  <w:num w:numId="2" w16cid:durableId="2079866345">
    <w:abstractNumId w:val="6"/>
  </w:num>
  <w:num w:numId="3" w16cid:durableId="1289891967">
    <w:abstractNumId w:val="5"/>
  </w:num>
  <w:num w:numId="4" w16cid:durableId="1670015942">
    <w:abstractNumId w:val="4"/>
  </w:num>
  <w:num w:numId="5" w16cid:durableId="224072567">
    <w:abstractNumId w:val="7"/>
  </w:num>
  <w:num w:numId="6" w16cid:durableId="861094606">
    <w:abstractNumId w:val="3"/>
  </w:num>
  <w:num w:numId="7" w16cid:durableId="463545025">
    <w:abstractNumId w:val="2"/>
  </w:num>
  <w:num w:numId="8" w16cid:durableId="357779744">
    <w:abstractNumId w:val="1"/>
  </w:num>
  <w:num w:numId="9" w16cid:durableId="1442334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5CA2"/>
    <w:rsid w:val="00A351C5"/>
    <w:rsid w:val="00AA1D8D"/>
    <w:rsid w:val="00B47730"/>
    <w:rsid w:val="00CB0664"/>
    <w:rsid w:val="00F255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5D6EF3A8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363</Words>
  <Characters>2070</Characters>
  <Application>Microsoft Office Word</Application>
  <DocSecurity>0</DocSecurity>
  <Lines>17</Lines>
  <Paragraphs>4</Paragraphs>
  <ScaleCrop>false</ScaleCrop>
  <Manager/>
  <Company/>
  <LinksUpToDate>false</LinksUpToDate>
  <CharactersWithSpaces>2429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2026-08-09T16:29:00Z</dcterms:created>
  <dcterms:modified xsi:type="dcterms:W3CDTF">2026-08-09T16:30:00Z</dcterms:modified>
  <cp:category/>
</cp:coreProperties>
</file>