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bidi w:val="0"/>
        <w:spacing w:before="140" w:after="120"/>
        <w:jc w:val="start"/>
        <w:rPr/>
      </w:pPr>
      <w:r>
        <w:rPr/>
        <w:t>Kubernetes (K8s) as Orchestrator and Deployment for MoE Systems</w:t>
      </w:r>
    </w:p>
    <w:p>
      <w:pPr>
        <w:pStyle w:val="BodyText"/>
        <w:bidi w:val="0"/>
        <w:ind w:hanging="0" w:start="0" w:end="0"/>
        <w:jc w:val="start"/>
        <w:rPr/>
      </w:pPr>
      <w:r>
        <w:rPr/>
        <w:t>Yes, Kubernetes (K8s) is an excellent open-source orchestrator for agentic AI systems, including Mixture of Experts (MoE) deployments. It's the de facto standard for container orchestration, handling distributed workloads like AI inference at scale. In our AABB-SF context (e.g., modular agents, multi-arch containers), K8s fits Phase 2/3 for Oracle Cloud: It abstracts local vs. remote, enables self-healing, and orchestrates actions/events/reactions per plan (e.g., scale agents on demand).</w:t>
      </w:r>
    </w:p>
    <w:p>
      <w:pPr>
        <w:pStyle w:val="Heading4"/>
        <w:bidi w:val="0"/>
        <w:jc w:val="start"/>
        <w:rPr/>
      </w:pPr>
      <w:r>
        <w:rPr/>
        <w:t>How Software is Installed/Deployed Remotely</w:t>
      </w:r>
    </w:p>
    <w:p>
      <w:pPr>
        <w:pStyle w:val="BodyText"/>
        <w:numPr>
          <w:ilvl w:val="0"/>
          <w:numId w:val="1"/>
        </w:numPr>
        <w:tabs>
          <w:tab w:val="clear" w:pos="709"/>
          <w:tab w:val="left" w:pos="709" w:leader="none"/>
        </w:tabs>
        <w:bidi w:val="0"/>
        <w:spacing w:before="0" w:after="0"/>
        <w:ind w:hanging="283" w:start="709"/>
        <w:jc w:val="start"/>
        <w:rPr/>
      </w:pPr>
      <w:r>
        <w:rPr>
          <w:rStyle w:val="Strong"/>
        </w:rPr>
        <w:t>Orchestration</w:t>
      </w:r>
      <w:r>
        <w:rPr/>
        <w:t xml:space="preserve">: K8s uses declarative configs (YAML manifests) for "desired state"—it automatically deploys, scales, updates via controllers. For MoE (e.g., specialized "expert" models): Deploy as pods (containers), with operators like Kubeflow for AI-specific workflows. </w:t>
      </w:r>
    </w:p>
    <w:p>
      <w:pPr>
        <w:pStyle w:val="BodyText"/>
        <w:numPr>
          <w:ilvl w:val="0"/>
          <w:numId w:val="1"/>
        </w:numPr>
        <w:tabs>
          <w:tab w:val="clear" w:pos="709"/>
          <w:tab w:val="left" w:pos="709" w:leader="none"/>
        </w:tabs>
        <w:bidi w:val="0"/>
        <w:spacing w:before="0" w:after="0"/>
        <w:ind w:hanging="283" w:start="709"/>
        <w:jc w:val="start"/>
        <w:rPr/>
      </w:pPr>
      <w:r>
        <w:rPr>
          <w:rStyle w:val="Strong"/>
        </w:rPr>
        <w:t>Remote Install</w:t>
      </w:r>
      <w:r>
        <w:rPr/>
        <w:t xml:space="preserve">: Use Helm charts (package manager) or CI/CD pipelines (e.g., GitHub Actions) to push from local to Oracle VM. Events/reactions: K8s watches for changes (e.g., high load triggers autoscaling), reacts via webhooks/operators. </w:t>
      </w:r>
    </w:p>
    <w:p>
      <w:pPr>
        <w:pStyle w:val="BodyText"/>
        <w:numPr>
          <w:ilvl w:val="0"/>
          <w:numId w:val="1"/>
        </w:numPr>
        <w:tabs>
          <w:tab w:val="clear" w:pos="709"/>
          <w:tab w:val="left" w:pos="709" w:leader="none"/>
        </w:tabs>
        <w:bidi w:val="0"/>
        <w:ind w:hanging="283" w:start="709"/>
        <w:jc w:val="start"/>
        <w:rPr/>
      </w:pPr>
      <w:r>
        <w:rPr>
          <w:rStyle w:val="Strong"/>
        </w:rPr>
        <w:t>Sandboxing</w:t>
      </w:r>
      <w:r>
        <w:rPr/>
        <w:t xml:space="preserve">: Pods run isolated; aligns with our hardened containers (Podman rootless fallback locally). </w:t>
      </w:r>
    </w:p>
    <w:tbl>
      <w:tblPr>
        <w:tblW w:w="9972" w:type="dxa"/>
        <w:jc w:val="start"/>
        <w:tblInd w:w="0" w:type="dxa"/>
        <w:tblLayout w:type="fixed"/>
        <w:tblCellMar>
          <w:top w:w="28" w:type="dxa"/>
          <w:start w:w="28" w:type="dxa"/>
          <w:bottom w:w="28" w:type="dxa"/>
          <w:end w:w="28" w:type="dxa"/>
        </w:tblCellMar>
      </w:tblPr>
      <w:tblGrid>
        <w:gridCol w:w="5235"/>
        <w:gridCol w:w="4737"/>
      </w:tblGrid>
      <w:tr>
        <w:trPr>
          <w:tblHeader w:val="true"/>
        </w:trPr>
        <w:tc>
          <w:tcPr>
            <w:tcW w:w="5235" w:type="dxa"/>
            <w:tcBorders/>
            <w:vAlign w:val="center"/>
          </w:tcPr>
          <w:p>
            <w:pPr>
              <w:pStyle w:val="TableHeading"/>
              <w:suppressLineNumbers/>
              <w:bidi w:val="0"/>
              <w:jc w:val="center"/>
              <w:rPr/>
            </w:pPr>
            <w:r>
              <w:rPr/>
              <w:t>Pros</w:t>
            </w:r>
          </w:p>
        </w:tc>
        <w:tc>
          <w:tcPr>
            <w:tcW w:w="4737" w:type="dxa"/>
            <w:tcBorders/>
            <w:vAlign w:val="center"/>
          </w:tcPr>
          <w:p>
            <w:pPr>
              <w:pStyle w:val="TableHeading"/>
              <w:bidi w:val="0"/>
              <w:ind w:hanging="0" w:start="0" w:end="0"/>
              <w:rPr/>
            </w:pPr>
            <w:r>
              <w:rPr/>
              <w:t>Cons</w:t>
            </w:r>
          </w:p>
        </w:tc>
      </w:tr>
      <w:tr>
        <w:trPr/>
        <w:tc>
          <w:tcPr>
            <w:tcW w:w="5235" w:type="dxa"/>
            <w:tcBorders/>
            <w:vAlign w:val="center"/>
          </w:tcPr>
          <w:p>
            <w:pPr>
              <w:pStyle w:val="TableContents"/>
              <w:bidi w:val="0"/>
              <w:ind w:hanging="0" w:start="0" w:end="0"/>
              <w:jc w:val="start"/>
              <w:rPr/>
            </w:pPr>
            <w:r>
              <w:rPr/>
              <w:t>Scalability: Auto-scales pods for MoE parallelism (e.g., distribute experts across nodes).</w:t>
            </w:r>
          </w:p>
        </w:tc>
        <w:tc>
          <w:tcPr>
            <w:tcW w:w="4737" w:type="dxa"/>
            <w:tcBorders/>
            <w:vAlign w:val="center"/>
          </w:tcPr>
          <w:p>
            <w:pPr>
              <w:pStyle w:val="TableContents"/>
              <w:bidi w:val="0"/>
              <w:ind w:hanging="0" w:start="0" w:end="0"/>
              <w:jc w:val="start"/>
              <w:rPr/>
            </w:pPr>
            <w:r>
              <w:rPr/>
              <w:t>Steep learning curve: Complex for beginners (we'll script it).</w:t>
            </w:r>
          </w:p>
        </w:tc>
      </w:tr>
      <w:tr>
        <w:trPr/>
        <w:tc>
          <w:tcPr>
            <w:tcW w:w="5235" w:type="dxa"/>
            <w:tcBorders/>
            <w:vAlign w:val="center"/>
          </w:tcPr>
          <w:p>
            <w:pPr>
              <w:pStyle w:val="TableContents"/>
              <w:bidi w:val="0"/>
              <w:ind w:hanging="0" w:start="0" w:end="0"/>
              <w:jc w:val="start"/>
              <w:rPr/>
            </w:pPr>
            <w:r>
              <w:rPr/>
              <w:t>Reliability: Self-healing (restarts failed pods), fault tolerance.</w:t>
            </w:r>
          </w:p>
        </w:tc>
        <w:tc>
          <w:tcPr>
            <w:tcW w:w="4737" w:type="dxa"/>
            <w:tcBorders/>
            <w:vAlign w:val="center"/>
          </w:tcPr>
          <w:p>
            <w:pPr>
              <w:pStyle w:val="TableContents"/>
              <w:bidi w:val="0"/>
              <w:ind w:hanging="0" w:start="0" w:end="0"/>
              <w:jc w:val="start"/>
              <w:rPr/>
            </w:pPr>
            <w:r>
              <w:rPr/>
              <w:t>Overhead: Resource-intensive for small setups (Phase 1 local avoids this).</w:t>
            </w:r>
          </w:p>
        </w:tc>
      </w:tr>
      <w:tr>
        <w:trPr/>
        <w:tc>
          <w:tcPr>
            <w:tcW w:w="5235" w:type="dxa"/>
            <w:tcBorders/>
            <w:vAlign w:val="center"/>
          </w:tcPr>
          <w:p>
            <w:pPr>
              <w:pStyle w:val="TableContents"/>
              <w:bidi w:val="0"/>
              <w:ind w:hanging="0" w:start="0" w:end="0"/>
              <w:jc w:val="start"/>
              <w:rPr/>
            </w:pPr>
            <w:r>
              <w:rPr/>
              <w:t>Portability: Runs on Oracle Free Tier ARM VMs; multi-arch support.</w:t>
            </w:r>
          </w:p>
        </w:tc>
        <w:tc>
          <w:tcPr>
            <w:tcW w:w="4737" w:type="dxa"/>
            <w:tcBorders/>
            <w:vAlign w:val="center"/>
          </w:tcPr>
          <w:p>
            <w:pPr>
              <w:pStyle w:val="TableContents"/>
              <w:bidi w:val="0"/>
              <w:ind w:hanging="0" w:start="0" w:end="0"/>
              <w:jc w:val="start"/>
              <w:rPr/>
            </w:pPr>
            <w:r>
              <w:rPr/>
              <w:t>Management: Needs monitoring tools (e.g., Prometheus) for production.</w:t>
            </w:r>
          </w:p>
        </w:tc>
      </w:tr>
      <w:tr>
        <w:trPr/>
        <w:tc>
          <w:tcPr>
            <w:tcW w:w="5235" w:type="dxa"/>
            <w:tcBorders/>
            <w:vAlign w:val="center"/>
          </w:tcPr>
          <w:p>
            <w:pPr>
              <w:pStyle w:val="TableContents"/>
              <w:bidi w:val="0"/>
              <w:ind w:hanging="0" w:start="0" w:end="0"/>
              <w:jc w:val="start"/>
              <w:rPr/>
            </w:pPr>
            <w:r>
              <w:rPr/>
              <w:t>AI-Fit: Great for agentic workflows (e.g., orchestrate Planner → Coder → Validator).</w:t>
            </w:r>
          </w:p>
        </w:tc>
        <w:tc>
          <w:tcPr>
            <w:tcW w:w="4737" w:type="dxa"/>
            <w:tcBorders/>
            <w:vAlign w:val="center"/>
          </w:tcPr>
          <w:p>
            <w:pPr>
              <w:pStyle w:val="TableContents"/>
              <w:widowControl w:val="false"/>
              <w:suppressLineNumbers/>
              <w:bidi w:val="0"/>
              <w:jc w:val="start"/>
              <w:rPr/>
            </w:pPr>
            <w:r>
              <w:rPr/>
              <w:t>Security: Requires hardening (e.g., RBAC, network policies)—fits our STIG.</w:t>
            </w:r>
          </w:p>
        </w:tc>
      </w:tr>
    </w:tbl>
    <w:p>
      <w:pPr>
        <w:pStyle w:val="BodyText"/>
        <w:bidi w:val="0"/>
        <w:ind w:hanging="0" w:start="0" w:end="0"/>
        <w:jc w:val="start"/>
        <w:rPr/>
      </w:pPr>
      <w:r>
        <w:rPr/>
        <w:t>Overall &gt;80% success for our roadmap (high with step-guided). Pivot to Podman if K8s feels heavy initially.</w:t>
      </w:r>
    </w:p>
    <w:p>
      <w:pPr>
        <w:pStyle w:val="Heading3"/>
        <w:bidi w:val="0"/>
        <w:jc w:val="start"/>
        <w:rPr/>
      </w:pPr>
      <w:r>
        <w:rPr/>
        <w:t>Customer-Facing AI Assistant Design</w:t>
      </w:r>
    </w:p>
    <w:p>
      <w:pPr>
        <w:pStyle w:val="BodyText"/>
        <w:bidi w:val="0"/>
        <w:ind w:hanging="0" w:start="0" w:end="0"/>
        <w:jc w:val="start"/>
        <w:rPr/>
      </w:pPr>
      <w:r>
        <w:rPr/>
        <w:t>Your vision for a "true assistant" aligns perfectly with AABB-SF's Grok-like UI and agentic core: A secure, local-first black box that acts on your behalf with approvals. Key principles preserved: Zero-trust (continuous verification), least privilege (RBAC for agents), time-bound auth (e.g., JWT TTL).</w:t>
      </w:r>
    </w:p>
    <w:p>
      <w:pPr>
        <w:pStyle w:val="BodyText"/>
        <w:numPr>
          <w:ilvl w:val="0"/>
          <w:numId w:val="2"/>
        </w:numPr>
        <w:tabs>
          <w:tab w:val="clear" w:pos="709"/>
          <w:tab w:val="left" w:pos="709" w:leader="none"/>
        </w:tabs>
        <w:bidi w:val="0"/>
        <w:spacing w:before="0" w:after="0"/>
        <w:ind w:hanging="283" w:start="709"/>
        <w:jc w:val="start"/>
        <w:rPr/>
      </w:pPr>
      <w:r>
        <w:rPr>
          <w:rStyle w:val="Strong"/>
        </w:rPr>
        <w:t>Authorized Access/Rights</w:t>
      </w:r>
      <w:r>
        <w:rPr/>
        <w:t xml:space="preserve">: Agents (e.g., PlannerAgent) get explicit contracts—heartbeat reporting via GuardianMonitor (metrics/anomalies), pre-authorized roles (e.g., scheduled duties like backups). Sandboxed in containers. </w:t>
      </w:r>
    </w:p>
    <w:p>
      <w:pPr>
        <w:pStyle w:val="BodyText"/>
        <w:numPr>
          <w:ilvl w:val="0"/>
          <w:numId w:val="2"/>
        </w:numPr>
        <w:tabs>
          <w:tab w:val="clear" w:pos="709"/>
          <w:tab w:val="left" w:pos="709" w:leader="none"/>
        </w:tabs>
        <w:bidi w:val="0"/>
        <w:spacing w:before="0" w:after="0"/>
        <w:ind w:hanging="283" w:start="709"/>
        <w:jc w:val="start"/>
        <w:rPr/>
      </w:pPr>
      <w:r>
        <w:rPr>
          <w:rStyle w:val="Strong"/>
        </w:rPr>
        <w:t>Interface Through You</w:t>
      </w:r>
      <w:r>
        <w:rPr/>
        <w:t xml:space="preserve">: All workflows route via UserInput → Orchestrator → Approval loops (e.g., ValidatorAgent presents changes for your sign-off before Executor runs). </w:t>
      </w:r>
    </w:p>
    <w:p>
      <w:pPr>
        <w:pStyle w:val="BodyText"/>
        <w:numPr>
          <w:ilvl w:val="0"/>
          <w:numId w:val="2"/>
        </w:numPr>
        <w:tabs>
          <w:tab w:val="clear" w:pos="709"/>
          <w:tab w:val="left" w:pos="709" w:leader="none"/>
        </w:tabs>
        <w:bidi w:val="0"/>
        <w:spacing w:before="0" w:after="0"/>
        <w:ind w:hanging="283" w:start="709"/>
        <w:jc w:val="start"/>
        <w:rPr/>
      </w:pPr>
      <w:r>
        <w:rPr>
          <w:rStyle w:val="Strong"/>
        </w:rPr>
        <w:t>Correspondence Handling</w:t>
      </w:r>
      <w:r>
        <w:rPr/>
        <w:t xml:space="preserve">: Persistent memory (e.g., via SQLite/Redis in CrewAI mods) stores pre-loaded files (emails/docs) as "facts." Agents analyze, suggest deletions/additions/executions—e.g., "Delete old invoice? [Approve/Y/N]". </w:t>
      </w:r>
    </w:p>
    <w:p>
      <w:pPr>
        <w:pStyle w:val="BodyText"/>
        <w:numPr>
          <w:ilvl w:val="0"/>
          <w:numId w:val="2"/>
        </w:numPr>
        <w:tabs>
          <w:tab w:val="clear" w:pos="709"/>
          <w:tab w:val="left" w:pos="709" w:leader="none"/>
        </w:tabs>
        <w:bidi w:val="0"/>
        <w:spacing w:before="0" w:after="0"/>
        <w:ind w:hanging="283" w:start="709"/>
        <w:jc w:val="start"/>
        <w:rPr/>
      </w:pPr>
      <w:r>
        <w:rPr>
          <w:rStyle w:val="Strong"/>
        </w:rPr>
        <w:t>Attentive to Time/Execution</w:t>
      </w:r>
      <w:r>
        <w:rPr/>
        <w:t xml:space="preserve">: Time limits per agent (e.g., 5 min inference), async retries, observability (traces). Planning/Reporting: Orchestrator generates plans/reports; e.g., "Task complete in 3 min, next: Review email." </w:t>
      </w:r>
    </w:p>
    <w:p>
      <w:pPr>
        <w:pStyle w:val="BodyText"/>
        <w:numPr>
          <w:ilvl w:val="0"/>
          <w:numId w:val="2"/>
        </w:numPr>
        <w:tabs>
          <w:tab w:val="clear" w:pos="709"/>
          <w:tab w:val="left" w:pos="709" w:leader="none"/>
        </w:tabs>
        <w:bidi w:val="0"/>
        <w:ind w:hanging="283" w:start="709"/>
        <w:jc w:val="start"/>
        <w:rPr/>
      </w:pPr>
      <w:r>
        <w:rPr>
          <w:rStyle w:val="Strong"/>
        </w:rPr>
        <w:t>Execution on Behalf</w:t>
      </w:r>
      <w:r>
        <w:rPr/>
        <w:t xml:space="preserve">: Once approved, agents handle (e.g., send email via tools)—but always auditable via logs. </w:t>
      </w:r>
    </w:p>
    <w:p>
      <w:pPr>
        <w:pStyle w:val="BodyText"/>
        <w:bidi w:val="0"/>
        <w:ind w:hanging="0" w:start="0" w:end="0"/>
        <w:jc w:val="start"/>
        <w:rPr/>
      </w:pPr>
      <w:r>
        <w:rPr/>
        <w:t>This is "human-in-the-loop" to address AI pitfalls (below). In Phase 1: Local-only, high-spec hardware for smooth UX.</w:t>
      </w:r>
    </w:p>
    <w:p>
      <w:pPr>
        <w:pStyle w:val="Heading3"/>
        <w:bidi w:val="0"/>
        <w:jc w:val="start"/>
        <w:rPr/>
      </w:pPr>
      <w:r>
        <w:rPr/>
        <w:t>Open-Source Agentic Assistants and Frameworks</w:t>
      </w:r>
    </w:p>
    <w:p>
      <w:pPr>
        <w:pStyle w:val="BodyText"/>
        <w:bidi w:val="0"/>
        <w:ind w:hanging="0" w:start="0" w:end="0"/>
        <w:jc w:val="start"/>
        <w:rPr/>
      </w:pPr>
      <w:r>
        <w:rPr/>
        <w:t xml:space="preserve">For a good open-source agentic assistant: </w:t>
      </w:r>
      <w:r>
        <w:rPr>
          <w:rStyle w:val="Strong"/>
        </w:rPr>
        <w:t>CrewAI</w:t>
      </w:r>
      <w:r>
        <w:rPr/>
        <w:t xml:space="preserve"> (from our roadmap) is ideal—forkable, sandboxed (Dockerize), runs MoEs/agents hierarchically (manager-worker), with monitoring (Guardian-like). It's free, easy, tool-first, and supports persistent memory via pre-load files (e.g., SQLite for project facts/learning).</w:t>
      </w:r>
    </w:p>
    <w:p>
      <w:pPr>
        <w:pStyle w:val="BodyText"/>
        <w:bidi w:val="0"/>
        <w:ind w:hanging="0" w:start="0" w:end="0"/>
        <w:jc w:val="start"/>
        <w:rPr/>
      </w:pPr>
      <w:r>
        <w:rPr/>
        <w:t>Alternatives: Use in our architecture for modularity.</w:t>
      </w:r>
    </w:p>
    <w:tbl>
      <w:tblPr>
        <w:tblW w:w="9972" w:type="dxa"/>
        <w:jc w:val="start"/>
        <w:tblInd w:w="0" w:type="dxa"/>
        <w:tblLayout w:type="fixed"/>
        <w:tblCellMar>
          <w:top w:w="28" w:type="dxa"/>
          <w:start w:w="28" w:type="dxa"/>
          <w:bottom w:w="28" w:type="dxa"/>
          <w:end w:w="28" w:type="dxa"/>
        </w:tblCellMar>
      </w:tblPr>
      <w:tblGrid>
        <w:gridCol w:w="1556"/>
        <w:gridCol w:w="2788"/>
        <w:gridCol w:w="3831"/>
        <w:gridCol w:w="1797"/>
      </w:tblGrid>
      <w:tr>
        <w:trPr>
          <w:tblHeader w:val="true"/>
        </w:trPr>
        <w:tc>
          <w:tcPr>
            <w:tcW w:w="1556" w:type="dxa"/>
            <w:tcBorders/>
            <w:vAlign w:val="center"/>
          </w:tcPr>
          <w:p>
            <w:pPr>
              <w:pStyle w:val="TableHeading"/>
              <w:suppressLineNumbers/>
              <w:bidi w:val="0"/>
              <w:jc w:val="center"/>
              <w:rPr/>
            </w:pPr>
            <w:r>
              <w:rPr/>
              <w:t>Framework</w:t>
            </w:r>
          </w:p>
        </w:tc>
        <w:tc>
          <w:tcPr>
            <w:tcW w:w="2788" w:type="dxa"/>
            <w:tcBorders/>
            <w:vAlign w:val="center"/>
          </w:tcPr>
          <w:p>
            <w:pPr>
              <w:pStyle w:val="TableHeading"/>
              <w:suppressLineNumbers/>
              <w:bidi w:val="0"/>
              <w:jc w:val="center"/>
              <w:rPr/>
            </w:pPr>
            <w:r>
              <w:rPr/>
              <w:t>Key Features</w:t>
            </w:r>
          </w:p>
        </w:tc>
        <w:tc>
          <w:tcPr>
            <w:tcW w:w="3831" w:type="dxa"/>
            <w:tcBorders/>
            <w:vAlign w:val="center"/>
          </w:tcPr>
          <w:p>
            <w:pPr>
              <w:pStyle w:val="TableHeading"/>
              <w:suppressLineNumbers/>
              <w:bidi w:val="0"/>
              <w:jc w:val="center"/>
              <w:rPr/>
            </w:pPr>
            <w:r>
              <w:rPr/>
              <w:t>Why Fits (Hierarchical, Sandboxed, Persistent Memory)</w:t>
            </w:r>
          </w:p>
        </w:tc>
        <w:tc>
          <w:tcPr>
            <w:tcW w:w="1797" w:type="dxa"/>
            <w:tcBorders/>
            <w:vAlign w:val="center"/>
          </w:tcPr>
          <w:p>
            <w:pPr>
              <w:pStyle w:val="TableHeading"/>
              <w:bidi w:val="0"/>
              <w:ind w:hanging="0" w:start="0" w:end="0"/>
              <w:rPr/>
            </w:pPr>
            <w:r>
              <w:rPr/>
              <w:t>Ease/Free</w:t>
            </w:r>
          </w:p>
        </w:tc>
      </w:tr>
      <w:tr>
        <w:trPr/>
        <w:tc>
          <w:tcPr>
            <w:tcW w:w="1556" w:type="dxa"/>
            <w:tcBorders/>
            <w:vAlign w:val="center"/>
          </w:tcPr>
          <w:p>
            <w:pPr>
              <w:pStyle w:val="TableContents"/>
              <w:bidi w:val="0"/>
              <w:ind w:hanging="0" w:start="0" w:end="0"/>
              <w:jc w:val="start"/>
              <w:rPr/>
            </w:pPr>
            <w:r>
              <w:rPr/>
              <w:t>CrewAI</w:t>
            </w:r>
          </w:p>
        </w:tc>
        <w:tc>
          <w:tcPr>
            <w:tcW w:w="2788" w:type="dxa"/>
            <w:tcBorders/>
            <w:vAlign w:val="center"/>
          </w:tcPr>
          <w:p>
            <w:pPr>
              <w:pStyle w:val="TableContents"/>
              <w:bidi w:val="0"/>
              <w:ind w:hanging="0" w:start="0" w:end="0"/>
              <w:jc w:val="start"/>
              <w:rPr/>
            </w:pPr>
            <w:r>
              <w:rPr/>
              <w:t>Role-based crews, sequential/hierarchical flows, tool integration.</w:t>
            </w:r>
          </w:p>
        </w:tc>
        <w:tc>
          <w:tcPr>
            <w:tcW w:w="3831" w:type="dxa"/>
            <w:tcBorders/>
            <w:vAlign w:val="center"/>
          </w:tcPr>
          <w:p>
            <w:pPr>
              <w:pStyle w:val="TableContents"/>
              <w:bidi w:val="0"/>
              <w:ind w:hanging="0" w:start="0" w:end="0"/>
              <w:jc w:val="start"/>
              <w:rPr/>
            </w:pPr>
            <w:r>
              <w:rPr/>
              <w:t>Hierarchical (manager coordinates); sandbox via Docker; memory via shared SQLite/Redis for projects.</w:t>
            </w:r>
          </w:p>
        </w:tc>
        <w:tc>
          <w:tcPr>
            <w:tcW w:w="1797" w:type="dxa"/>
            <w:tcBorders/>
            <w:vAlign w:val="center"/>
          </w:tcPr>
          <w:p>
            <w:pPr>
              <w:pStyle w:val="TableContents"/>
              <w:bidi w:val="0"/>
              <w:ind w:hanging="0" w:start="0" w:end="0"/>
              <w:jc w:val="start"/>
              <w:rPr/>
            </w:pPr>
            <w:r>
              <w:rPr/>
              <w:t>Easy; Free/open-source.</w:t>
            </w:r>
          </w:p>
        </w:tc>
      </w:tr>
      <w:tr>
        <w:trPr/>
        <w:tc>
          <w:tcPr>
            <w:tcW w:w="1556" w:type="dxa"/>
            <w:tcBorders/>
            <w:vAlign w:val="center"/>
          </w:tcPr>
          <w:p>
            <w:pPr>
              <w:pStyle w:val="TableContents"/>
              <w:bidi w:val="0"/>
              <w:ind w:hanging="0" w:start="0" w:end="0"/>
              <w:jc w:val="start"/>
              <w:rPr/>
            </w:pPr>
            <w:r>
              <w:rPr/>
              <w:t>LangGraph</w:t>
            </w:r>
          </w:p>
        </w:tc>
        <w:tc>
          <w:tcPr>
            <w:tcW w:w="2788" w:type="dxa"/>
            <w:tcBorders/>
            <w:vAlign w:val="center"/>
          </w:tcPr>
          <w:p>
            <w:pPr>
              <w:pStyle w:val="TableContents"/>
              <w:bidi w:val="0"/>
              <w:ind w:hanging="0" w:start="0" w:end="0"/>
              <w:jc w:val="start"/>
              <w:rPr/>
            </w:pPr>
            <w:r>
              <w:rPr/>
              <w:t>Graph-based orchestration, stateful agents.</w:t>
            </w:r>
          </w:p>
        </w:tc>
        <w:tc>
          <w:tcPr>
            <w:tcW w:w="3831" w:type="dxa"/>
            <w:tcBorders/>
            <w:vAlign w:val="center"/>
          </w:tcPr>
          <w:p>
            <w:pPr>
              <w:pStyle w:val="TableContents"/>
              <w:bidi w:val="0"/>
              <w:ind w:hanging="0" w:start="0" w:end="0"/>
              <w:jc w:val="start"/>
              <w:rPr/>
            </w:pPr>
            <w:r>
              <w:rPr/>
              <w:t>Hierarchical/multi-actor; sandboxed execution; built-in persistence (long-term context).</w:t>
            </w:r>
          </w:p>
        </w:tc>
        <w:tc>
          <w:tcPr>
            <w:tcW w:w="1797" w:type="dxa"/>
            <w:tcBorders/>
            <w:vAlign w:val="center"/>
          </w:tcPr>
          <w:p>
            <w:pPr>
              <w:pStyle w:val="TableContents"/>
              <w:bidi w:val="0"/>
              <w:ind w:hanging="0" w:start="0" w:end="0"/>
              <w:jc w:val="start"/>
              <w:rPr/>
            </w:pPr>
            <w:r>
              <w:rPr/>
              <w:t>Moderate; Free/open-source.</w:t>
            </w:r>
          </w:p>
        </w:tc>
      </w:tr>
      <w:tr>
        <w:trPr/>
        <w:tc>
          <w:tcPr>
            <w:tcW w:w="1556" w:type="dxa"/>
            <w:tcBorders/>
            <w:vAlign w:val="center"/>
          </w:tcPr>
          <w:p>
            <w:pPr>
              <w:pStyle w:val="TableContents"/>
              <w:bidi w:val="0"/>
              <w:ind w:hanging="0" w:start="0" w:end="0"/>
              <w:jc w:val="start"/>
              <w:rPr/>
            </w:pPr>
            <w:r>
              <w:rPr/>
              <w:t>AutoGen (Microsoft)</w:t>
            </w:r>
          </w:p>
        </w:tc>
        <w:tc>
          <w:tcPr>
            <w:tcW w:w="2788" w:type="dxa"/>
            <w:tcBorders/>
            <w:vAlign w:val="center"/>
          </w:tcPr>
          <w:p>
            <w:pPr>
              <w:pStyle w:val="TableContents"/>
              <w:bidi w:val="0"/>
              <w:ind w:hanging="0" w:start="0" w:end="0"/>
              <w:jc w:val="start"/>
              <w:rPr/>
            </w:pPr>
            <w:r>
              <w:rPr/>
              <w:t>Multi-agent conversations, human proxies.</w:t>
            </w:r>
          </w:p>
        </w:tc>
        <w:tc>
          <w:tcPr>
            <w:tcW w:w="3831" w:type="dxa"/>
            <w:tcBorders/>
            <w:vAlign w:val="center"/>
          </w:tcPr>
          <w:p>
            <w:pPr>
              <w:pStyle w:val="TableContents"/>
              <w:bidi w:val="0"/>
              <w:ind w:hanging="0" w:start="0" w:end="0"/>
              <w:jc w:val="start"/>
              <w:rPr/>
            </w:pPr>
            <w:r>
              <w:rPr/>
              <w:t>Hierarchical coordination; sandbox support; memory modules for facts/pre-loads.</w:t>
            </w:r>
          </w:p>
        </w:tc>
        <w:tc>
          <w:tcPr>
            <w:tcW w:w="1797" w:type="dxa"/>
            <w:tcBorders/>
            <w:vAlign w:val="center"/>
          </w:tcPr>
          <w:p>
            <w:pPr>
              <w:pStyle w:val="TableContents"/>
              <w:bidi w:val="0"/>
              <w:ind w:hanging="0" w:start="0" w:end="0"/>
              <w:jc w:val="start"/>
              <w:rPr/>
            </w:pPr>
            <w:r>
              <w:rPr/>
              <w:t>Easy; Free/open-source.</w:t>
            </w:r>
          </w:p>
        </w:tc>
      </w:tr>
      <w:tr>
        <w:trPr/>
        <w:tc>
          <w:tcPr>
            <w:tcW w:w="1556" w:type="dxa"/>
            <w:tcBorders/>
            <w:vAlign w:val="center"/>
          </w:tcPr>
          <w:p>
            <w:pPr>
              <w:pStyle w:val="TableContents"/>
              <w:bidi w:val="0"/>
              <w:ind w:hanging="0" w:start="0" w:end="0"/>
              <w:jc w:val="start"/>
              <w:rPr/>
            </w:pPr>
            <w:r>
              <w:rPr/>
              <w:t>LlamaIndex</w:t>
            </w:r>
          </w:p>
        </w:tc>
        <w:tc>
          <w:tcPr>
            <w:tcW w:w="2788" w:type="dxa"/>
            <w:tcBorders/>
            <w:vAlign w:val="center"/>
          </w:tcPr>
          <w:p>
            <w:pPr>
              <w:pStyle w:val="TableContents"/>
              <w:bidi w:val="0"/>
              <w:ind w:hanging="0" w:start="0" w:end="0"/>
              <w:jc w:val="start"/>
              <w:rPr/>
            </w:pPr>
            <w:r>
              <w:rPr/>
              <w:t>Data-focused agents, RAG integration.</w:t>
            </w:r>
          </w:p>
        </w:tc>
        <w:tc>
          <w:tcPr>
            <w:tcW w:w="3831" w:type="dxa"/>
            <w:tcBorders/>
            <w:vAlign w:val="center"/>
          </w:tcPr>
          <w:p>
            <w:pPr>
              <w:pStyle w:val="TableContents"/>
              <w:bidi w:val="0"/>
              <w:ind w:hanging="0" w:start="0" w:end="0"/>
              <w:jc w:val="start"/>
              <w:rPr/>
            </w:pPr>
            <w:r>
              <w:rPr/>
              <w:t>Hierarchical (agents as tools); sandboxed; persistent indexes for memory/projects.</w:t>
            </w:r>
          </w:p>
        </w:tc>
        <w:tc>
          <w:tcPr>
            <w:tcW w:w="1797" w:type="dxa"/>
            <w:tcBorders/>
            <w:vAlign w:val="center"/>
          </w:tcPr>
          <w:p>
            <w:pPr>
              <w:pStyle w:val="TableContents"/>
              <w:bidi w:val="0"/>
              <w:ind w:hanging="0" w:start="0" w:end="0"/>
              <w:jc w:val="start"/>
              <w:rPr/>
            </w:pPr>
            <w:r>
              <w:rPr/>
              <w:t>Moderate; Free/open-source.</w:t>
            </w:r>
          </w:p>
        </w:tc>
      </w:tr>
      <w:tr>
        <w:trPr/>
        <w:tc>
          <w:tcPr>
            <w:tcW w:w="1556" w:type="dxa"/>
            <w:tcBorders/>
            <w:vAlign w:val="center"/>
          </w:tcPr>
          <w:p>
            <w:pPr>
              <w:pStyle w:val="TableContents"/>
              <w:bidi w:val="0"/>
              <w:ind w:hanging="0" w:start="0" w:end="0"/>
              <w:jc w:val="start"/>
              <w:rPr/>
            </w:pPr>
            <w:r>
              <w:rPr/>
              <w:t>Semantic Kernel</w:t>
            </w:r>
          </w:p>
        </w:tc>
        <w:tc>
          <w:tcPr>
            <w:tcW w:w="2788" w:type="dxa"/>
            <w:tcBorders/>
            <w:vAlign w:val="center"/>
          </w:tcPr>
          <w:p>
            <w:pPr>
              <w:pStyle w:val="TableContents"/>
              <w:bidi w:val="0"/>
              <w:ind w:hanging="0" w:start="0" w:end="0"/>
              <w:jc w:val="start"/>
              <w:rPr/>
            </w:pPr>
            <w:r>
              <w:rPr/>
              <w:t>Planners, connectors for tools.</w:t>
            </w:r>
          </w:p>
        </w:tc>
        <w:tc>
          <w:tcPr>
            <w:tcW w:w="3831" w:type="dxa"/>
            <w:tcBorders/>
            <w:vAlign w:val="center"/>
          </w:tcPr>
          <w:p>
            <w:pPr>
              <w:pStyle w:val="TableContents"/>
              <w:bidi w:val="0"/>
              <w:ind w:hanging="0" w:start="0" w:end="0"/>
              <w:jc w:val="start"/>
              <w:rPr/>
            </w:pPr>
            <w:r>
              <w:rPr/>
              <w:t>Hierarchical workflows; sandboxed plugins; memory stores for persistent facts.</w:t>
            </w:r>
          </w:p>
        </w:tc>
        <w:tc>
          <w:tcPr>
            <w:tcW w:w="1797" w:type="dxa"/>
            <w:tcBorders/>
            <w:vAlign w:val="center"/>
          </w:tcPr>
          <w:p>
            <w:pPr>
              <w:pStyle w:val="TableContents"/>
              <w:widowControl w:val="false"/>
              <w:suppressLineNumbers/>
              <w:bidi w:val="0"/>
              <w:jc w:val="start"/>
              <w:rPr/>
            </w:pPr>
            <w:r>
              <w:rPr/>
              <w:t>Easy; Free/open-source.</w:t>
            </w:r>
          </w:p>
        </w:tc>
      </w:tr>
    </w:tbl>
    <w:p>
      <w:pPr>
        <w:pStyle w:val="BodyText"/>
        <w:bidi w:val="0"/>
        <w:ind w:hanging="0" w:start="0" w:end="0"/>
        <w:jc w:val="start"/>
        <w:rPr/>
      </w:pPr>
      <w:r>
        <w:rPr/>
        <w:t>For workflow/coding: CrewAI + LangGraph for coding agents (e.g., pre-load project files for learning). Run in our Podman/K8s sandboxes. Start with CrewAI fork (as planned)—it learns via memory, directs/reviews autonomously with your oversight.</w:t>
      </w:r>
    </w:p>
    <w:p>
      <w:pPr>
        <w:pStyle w:val="Heading3"/>
        <w:bidi w:val="0"/>
        <w:jc w:val="start"/>
        <w:rPr/>
      </w:pPr>
      <w:r>
        <w:rPr/>
        <w:t>AI Assistants: Problems and Findings from 2026 Report</w:t>
      </w:r>
    </w:p>
    <w:p>
      <w:pPr>
        <w:pStyle w:val="BodyText"/>
        <w:bidi w:val="0"/>
        <w:ind w:hanging="0" w:start="0" w:end="0"/>
        <w:jc w:val="start"/>
        <w:rPr/>
      </w:pPr>
      <w:r>
        <w:rPr/>
        <w:t>The Connext Global 2026 AI Oversight Report (survey of 1,000 U.S. AI users) confirms your key findings, emphasizing "human-in-the-loop" for reliability. Expanded insights:</w:t>
      </w:r>
    </w:p>
    <w:p>
      <w:pPr>
        <w:pStyle w:val="BodyText"/>
        <w:numPr>
          <w:ilvl w:val="0"/>
          <w:numId w:val="3"/>
        </w:numPr>
        <w:tabs>
          <w:tab w:val="clear" w:pos="709"/>
          <w:tab w:val="left" w:pos="709" w:leader="none"/>
        </w:tabs>
        <w:bidi w:val="0"/>
        <w:spacing w:before="0" w:after="0"/>
        <w:ind w:hanging="283" w:start="709"/>
        <w:jc w:val="start"/>
        <w:rPr/>
      </w:pPr>
      <w:r>
        <w:rPr>
          <w:rStyle w:val="Strong"/>
        </w:rPr>
        <w:t>Autonomy Not Reliable</w:t>
      </w:r>
      <w:r>
        <w:rPr/>
        <w:t xml:space="preserve">: Only 17% trust AI solo; 70% need light/dedicated oversight. </w:t>
      </w:r>
    </w:p>
    <w:p>
      <w:pPr>
        <w:pStyle w:val="BodyText"/>
        <w:numPr>
          <w:ilvl w:val="0"/>
          <w:numId w:val="3"/>
        </w:numPr>
        <w:tabs>
          <w:tab w:val="clear" w:pos="709"/>
          <w:tab w:val="left" w:pos="709" w:leader="none"/>
        </w:tabs>
        <w:bidi w:val="0"/>
        <w:spacing w:before="0" w:after="0"/>
        <w:ind w:hanging="283" w:start="709"/>
        <w:jc w:val="start"/>
        <w:rPr/>
      </w:pPr>
      <w:r>
        <w:rPr>
          <w:rStyle w:val="Strong"/>
        </w:rPr>
        <w:t>Rising Human Review</w:t>
      </w:r>
      <w:r>
        <w:rPr/>
        <w:t xml:space="preserve">: 64% expect more checking (26% significantly). </w:t>
      </w:r>
    </w:p>
    <w:p>
      <w:pPr>
        <w:pStyle w:val="BodyText"/>
        <w:numPr>
          <w:ilvl w:val="0"/>
          <w:numId w:val="3"/>
        </w:numPr>
        <w:tabs>
          <w:tab w:val="clear" w:pos="709"/>
          <w:tab w:val="left" w:pos="709" w:leader="none"/>
        </w:tabs>
        <w:bidi w:val="0"/>
        <w:spacing w:before="0" w:after="0"/>
        <w:ind w:hanging="283" w:start="709"/>
        <w:jc w:val="start"/>
        <w:rPr/>
      </w:pPr>
      <w:r>
        <w:rPr>
          <w:rStyle w:val="Strong"/>
        </w:rPr>
        <w:t>Monitoring Norm</w:t>
      </w:r>
      <w:r>
        <w:rPr/>
        <w:t xml:space="preserve">: 82% need frequent/sometimes attention (only 4% hands-off). </w:t>
      </w:r>
    </w:p>
    <w:p>
      <w:pPr>
        <w:pStyle w:val="BodyText"/>
        <w:numPr>
          <w:ilvl w:val="0"/>
          <w:numId w:val="3"/>
        </w:numPr>
        <w:tabs>
          <w:tab w:val="clear" w:pos="709"/>
          <w:tab w:val="left" w:pos="709" w:leader="none"/>
        </w:tabs>
        <w:bidi w:val="0"/>
        <w:spacing w:before="0" w:after="0"/>
        <w:ind w:hanging="283" w:start="709"/>
        <w:jc w:val="start"/>
        <w:rPr/>
      </w:pPr>
      <w:r>
        <w:rPr>
          <w:rStyle w:val="Strong"/>
        </w:rPr>
        <w:t>Fixes Common</w:t>
      </w:r>
      <w:r>
        <w:rPr/>
        <w:t xml:space="preserve">: 63% say outputs right only sometimes/rarely; top aftermath: Editing (42%), approval (34%). </w:t>
      </w:r>
    </w:p>
    <w:p>
      <w:pPr>
        <w:pStyle w:val="BodyText"/>
        <w:numPr>
          <w:ilvl w:val="0"/>
          <w:numId w:val="3"/>
        </w:numPr>
        <w:tabs>
          <w:tab w:val="clear" w:pos="709"/>
          <w:tab w:val="left" w:pos="709" w:leader="none"/>
        </w:tabs>
        <w:bidi w:val="0"/>
        <w:spacing w:before="0" w:after="0"/>
        <w:ind w:hanging="283" w:start="709"/>
        <w:jc w:val="start"/>
        <w:rPr/>
      </w:pPr>
      <w:r>
        <w:rPr>
          <w:rStyle w:val="Strong"/>
        </w:rPr>
        <w:t>Time Savings Erased</w:t>
      </w:r>
      <w:r>
        <w:rPr/>
        <w:t xml:space="preserve">: Fixes take same/more time in 57% cases. </w:t>
      </w:r>
    </w:p>
    <w:p>
      <w:pPr>
        <w:pStyle w:val="BodyText"/>
        <w:numPr>
          <w:ilvl w:val="0"/>
          <w:numId w:val="3"/>
        </w:numPr>
        <w:tabs>
          <w:tab w:val="clear" w:pos="709"/>
          <w:tab w:val="left" w:pos="709" w:leader="none"/>
        </w:tabs>
        <w:bidi w:val="0"/>
        <w:spacing w:before="0" w:after="0"/>
        <w:ind w:hanging="283" w:start="709"/>
        <w:jc w:val="start"/>
        <w:rPr/>
      </w:pPr>
      <w:r>
        <w:rPr>
          <w:rStyle w:val="Strong"/>
        </w:rPr>
        <w:t>Context Breakdowns</w:t>
      </w:r>
      <w:r>
        <w:rPr/>
        <w:t xml:space="preserve">: Omits details (42%), extra work (32%), confident but wrong (31%). </w:t>
      </w:r>
    </w:p>
    <w:p>
      <w:pPr>
        <w:pStyle w:val="BodyText"/>
        <w:numPr>
          <w:ilvl w:val="0"/>
          <w:numId w:val="3"/>
        </w:numPr>
        <w:tabs>
          <w:tab w:val="clear" w:pos="709"/>
          <w:tab w:val="left" w:pos="709" w:leader="none"/>
        </w:tabs>
        <w:bidi w:val="0"/>
        <w:ind w:hanging="283" w:start="709"/>
        <w:jc w:val="start"/>
        <w:rPr/>
      </w:pPr>
      <w:r>
        <w:rPr>
          <w:rStyle w:val="Strong"/>
        </w:rPr>
        <w:t>Customer/Negative Impact</w:t>
      </w:r>
      <w:r>
        <w:rPr/>
        <w:t xml:space="preserve">: 19% worsened situations; 60% personally saw negatives (18% complaints, 11% lost revenue). </w:t>
      </w:r>
    </w:p>
    <w:p>
      <w:pPr>
        <w:pStyle w:val="BodyText"/>
        <w:bidi w:val="0"/>
        <w:ind w:hanging="0" w:start="0" w:end="0"/>
        <w:jc w:val="start"/>
        <w:rPr/>
      </w:pPr>
      <w:r>
        <w:rPr/>
        <w:t>Additional: Methodology (online survey via Pollfish, quality-checked). Recommendations: Build oversight habits—guardrails, escalation paths, structured workflows for validation/errors. AABB-SF addresses via GuardianMonitor (anomalies/shutdowns), ValidatorAgent (fixes/iterations), and approval loops—ensuring human review without losing efficiency.</w:t>
      </w:r>
    </w:p>
    <w:p>
      <w:pPr>
        <w:pStyle w:val="Heading3"/>
        <w:bidi w:val="0"/>
        <w:jc w:val="start"/>
        <w:rPr/>
      </w:pPr>
      <w:r>
        <w:rPr/>
        <w:t>Next Steps &amp; Recommendations</w:t>
      </w:r>
    </w:p>
    <w:p>
      <w:pPr>
        <w:pStyle w:val="BodyText"/>
        <w:numPr>
          <w:ilvl w:val="0"/>
          <w:numId w:val="4"/>
        </w:numPr>
        <w:tabs>
          <w:tab w:val="clear" w:pos="709"/>
          <w:tab w:val="left" w:pos="709" w:leader="none"/>
        </w:tabs>
        <w:bidi w:val="0"/>
        <w:spacing w:before="0" w:after="0"/>
        <w:ind w:hanging="283" w:start="709"/>
        <w:jc w:val="start"/>
        <w:rPr/>
      </w:pPr>
      <w:r>
        <w:rPr/>
        <w:t xml:space="preserve">Save/export this as PDF/markdown. </w:t>
      </w:r>
    </w:p>
    <w:p>
      <w:pPr>
        <w:pStyle w:val="BodyText"/>
        <w:numPr>
          <w:ilvl w:val="0"/>
          <w:numId w:val="4"/>
        </w:numPr>
        <w:tabs>
          <w:tab w:val="clear" w:pos="709"/>
          <w:tab w:val="left" w:pos="709" w:leader="none"/>
        </w:tabs>
        <w:bidi w:val="0"/>
        <w:spacing w:before="0" w:after="0"/>
        <w:ind w:hanging="283" w:start="709"/>
        <w:jc w:val="start"/>
        <w:rPr/>
      </w:pPr>
      <w:r>
        <w:rPr/>
        <w:t xml:space="preserve">Start your next message with the link(s) and phase/focus (e.g., "Repo: [URL] | Phase: 1 | Focus: Draft Phase 1 setup scripts"). </w:t>
      </w:r>
    </w:p>
    <w:p>
      <w:pPr>
        <w:pStyle w:val="BodyText"/>
        <w:numPr>
          <w:ilvl w:val="0"/>
          <w:numId w:val="4"/>
        </w:numPr>
        <w:tabs>
          <w:tab w:val="clear" w:pos="709"/>
          <w:tab w:val="left" w:pos="709" w:leader="none"/>
        </w:tabs>
        <w:bidi w:val="0"/>
        <w:ind w:hanging="283" w:start="709"/>
        <w:jc w:val="start"/>
        <w:rPr/>
      </w:pPr>
      <w:r>
        <w:rPr/>
        <w:t xml:space="preserve">If you'd like: Expand GuardianMonitor pseudocode, refine DOT with time limits, add sequence diagrams for Orchestrator flow, or draft Phase 1 Bash scripts for hardened install. Ready to set up the GitHub repo now? </w:t>
      </w:r>
    </w:p>
    <w:p>
      <w:pPr>
        <w:pStyle w:val="Normal"/>
        <w:bidi w:val="0"/>
        <w:jc w:val="start"/>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val="bestFit" w:percent="3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paragraph" w:styleId="Heading4">
    <w:name w:val="heading 4"/>
    <w:basedOn w:val="Heading"/>
    <w:next w:val="BodyText"/>
    <w:qFormat/>
    <w:pPr>
      <w:spacing w:before="120" w:after="120"/>
      <w:outlineLvl w:val="3"/>
    </w:pPr>
    <w:rPr>
      <w:rFonts w:ascii="Liberation Serif" w:hAnsi="Liberation Serif" w:eastAsia="Noto Serif CJK SC" w:cs="Noto Sans Devanagari"/>
      <w:b/>
      <w:bCs/>
      <w:sz w:val="24"/>
      <w:szCs w:val="24"/>
    </w:rPr>
  </w:style>
  <w:style w:type="character" w:styleId="Bullets">
    <w:name w:val="Bullets"/>
    <w:qFormat/>
    <w:rPr>
      <w:rFonts w:ascii="OpenSymbol" w:hAnsi="OpenSymbol" w:eastAsia="OpenSymbol" w:cs="OpenSymbol"/>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LibreOffice/25.8.4.2$Linux_X86_64 LibreOffice_project/580$Build-2</Application>
  <AppVersion>15.0000</AppVersion>
  <Pages>3</Pages>
  <Words>842</Words>
  <Characters>5707</Characters>
  <CharactersWithSpaces>6473</CharactersWithSpaces>
  <Paragraphs>67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2026-02-24T02:52:09Z</dcterms:created>
  <dc:creator/>
  <dc:description/>
  <dc:language>en-US</dc:language>
  <cp:lastModifiedBy/>
  <dcterms:modified xsi:type="dcterms:W3CDTF">2026-02-24T02:55:28Z</dcterms:modified>
  <cp:revision>1</cp:revision>
  <dc:subject/>
  <dc:title/>
</cp:coreProperties>
</file>