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7597A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2023302051170侯宜辰——黑盒/白盒测试作业题一：</w:t>
      </w:r>
    </w:p>
    <w:p w14:paraId="5775D5E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1.等价类设计 (表1)</w:t>
      </w:r>
    </w:p>
    <w:p w14:paraId="6B0599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——输入条件：货品编号、货品数量、货品类型、货品尺寸</w:t>
      </w:r>
    </w:p>
    <w:p w14:paraId="78E6A4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——有效等价类：</w:t>
      </w:r>
    </w:p>
    <w:p w14:paraId="7A4277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-货品编号：符合要求的编号（字母开头，6个字符，不含特殊字符）</w:t>
      </w:r>
    </w:p>
    <w:p w14:paraId="699783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-货品数量：在10到500之间的整数</w:t>
      </w:r>
    </w:p>
    <w:p w14:paraId="372225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-货品类型：设备、零件、耗材</w:t>
      </w:r>
    </w:p>
    <w:p w14:paraId="16F553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-货品尺寸：大型、中型、小型</w:t>
      </w:r>
    </w:p>
    <w:p w14:paraId="2C1107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——无效等价类：</w:t>
      </w:r>
    </w:p>
    <w:p w14:paraId="30ADDF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-货品编号不符合格式要求（例如：不以字母开头，超过6个字符或含有特殊字符）</w:t>
      </w:r>
    </w:p>
    <w:p w14:paraId="7BD4D1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-货品数量不在10到500之间（例如：小于10或大于500）</w:t>
      </w:r>
    </w:p>
    <w:p w14:paraId="00AD5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-货品类型不是“设备”、“零件”或“耗材”</w:t>
      </w:r>
    </w:p>
    <w:p w14:paraId="2781C2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-货品尺寸不是“大型”、“中型”或“小型”</w:t>
      </w:r>
    </w:p>
    <w:p w14:paraId="76C4CD1B">
      <w:pPr>
        <w:rPr>
          <w:rFonts w:hint="eastAsia"/>
          <w:lang w:val="en-US" w:eastAsia="zh-CN"/>
        </w:rPr>
      </w:pPr>
    </w:p>
    <w:p w14:paraId="414228E2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测试用例设计 (表2)</w:t>
      </w:r>
    </w:p>
    <w:p w14:paraId="7FD6B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序号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输入数据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预计输出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覆盖的等价类</w:t>
      </w:r>
    </w:p>
    <w:p w14:paraId="659DA1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编号：A12345，数量：200，类型：设备，尺寸：中型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存放在专用仓库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有效等价类</w:t>
      </w:r>
    </w:p>
    <w:p w14:paraId="7425F3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编号：A123456，数量：200，类型：设备，尺寸：中型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无效输入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货品编号无效</w:t>
      </w:r>
    </w:p>
    <w:p w14:paraId="6B1AF9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，数量：200，类型：设备，尺寸：中型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无效输入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货品编号无效</w:t>
      </w:r>
    </w:p>
    <w:p w14:paraId="0078B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编号：A12345，数量：5，类型：设备，尺寸：中型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无效输入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货品数量无效</w:t>
      </w:r>
    </w:p>
    <w:p w14:paraId="20F9F9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编号：A12345，数量：501，类型：设备，尺寸：中型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无效输入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货品数量无效</w:t>
      </w:r>
    </w:p>
    <w:p w14:paraId="55A5DF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编号：A12345，数量：200，类型：工具，尺寸：中型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无效输入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货品类型无效</w:t>
      </w:r>
    </w:p>
    <w:p w14:paraId="464602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编号：A12345，数量：200，类型：设备，尺寸：大型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存放在室外堆场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有效等价类</w:t>
      </w:r>
    </w:p>
    <w:p w14:paraId="65DFAD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编号：A12345，数量：200，类型：设备，尺寸：小型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存放在室内货架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有效等价类</w:t>
      </w:r>
    </w:p>
    <w:p w14:paraId="3E1F7D1B">
      <w:pPr>
        <w:rPr>
          <w:rFonts w:hint="default"/>
          <w:lang w:val="en-US" w:eastAsia="zh-CN"/>
        </w:rPr>
      </w:pPr>
    </w:p>
    <w:p w14:paraId="2D18DA50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 边界值测试用例 (表3)</w:t>
      </w:r>
    </w:p>
    <w:p w14:paraId="4A29E8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序号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输入数据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预计输出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说明</w:t>
      </w:r>
    </w:p>
    <w:p w14:paraId="66B12B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编号：A12345，数量：10，类型：设备，尺寸：中型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存放在专用仓库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最小数量</w:t>
      </w:r>
    </w:p>
    <w:p w14:paraId="37EEB7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编号：A12345，数量：500，类型：设备，尺寸：中型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存放在专用仓库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最大数量</w:t>
      </w:r>
    </w:p>
    <w:p w14:paraId="4A05F4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编号：A12345，数量：9，类型：设备，尺寸：中型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无效输入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小于最小数量</w:t>
      </w:r>
    </w:p>
    <w:p w14:paraId="7A990A89"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编号：A12345，数量：501，类型：设备，尺寸：中型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无效输入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大于最大数量</w:t>
      </w:r>
    </w:p>
    <w:p w14:paraId="4C7B0084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2023302051170侯宜辰——黑盒/白盒测试作业题二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：</w:t>
      </w:r>
    </w:p>
    <w:p w14:paraId="077AFFF3">
      <w:pPr>
        <w:rPr>
          <w:rFonts w:hint="eastAsia"/>
          <w:b/>
          <w:bCs/>
          <w:lang w:val="en-US" w:eastAsia="zh-CN"/>
        </w:rPr>
      </w:pPr>
    </w:p>
    <w:p w14:paraId="0F41E4D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1.设计满足分支覆盖，但不满足条件覆盖的测试用例</w:t>
      </w:r>
    </w:p>
    <w:p w14:paraId="76825C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（分支覆盖：每个判断的True/False结果至少走到一次，但不要求每个条件子表达式的T/F情况都覆盖）</w:t>
      </w:r>
    </w:p>
    <w:p w14:paraId="1FC183E6">
      <w:pPr>
        <w:rPr>
          <w:rFonts w:hint="eastAsia"/>
          <w:lang w:val="en-US" w:eastAsia="zh-CN"/>
        </w:rPr>
      </w:pPr>
    </w:p>
    <w:p w14:paraId="6CA65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输入（金额 / VIP / 品种数）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说明</w:t>
      </w:r>
    </w:p>
    <w:p w14:paraId="3CFD31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 / 是 / 5件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走金额≥200分支、VIP=是分支，10%积分</w:t>
      </w:r>
    </w:p>
    <w:p w14:paraId="511759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 / 否 / 11件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走金额&lt;200分支、品种数&gt;10分支，5分赠送</w:t>
      </w:r>
    </w:p>
    <w:p w14:paraId="76D75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500 / 否 / 5件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金额≥400直接获赠5分</w:t>
      </w:r>
    </w:p>
    <w:p w14:paraId="6EC8EE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 / 否 / 2件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金额&lt;400、品种数≤10，无赠送5分</w:t>
      </w:r>
    </w:p>
    <w:p w14:paraId="5E1CAB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 w14:paraId="13D25783">
      <w:pPr>
        <w:rPr>
          <w:rFonts w:hint="eastAsia"/>
          <w:lang w:val="en-US" w:eastAsia="zh-CN"/>
        </w:rPr>
      </w:pPr>
    </w:p>
    <w:p w14:paraId="105DA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满足所有分支的 True/False 路径被走过，但VIP判断的真假没有单独分别测试，因此不满足条件覆盖。</w:t>
      </w:r>
    </w:p>
    <w:p w14:paraId="5371851D">
      <w:pPr>
        <w:rPr>
          <w:rFonts w:hint="eastAsia"/>
          <w:lang w:val="en-US" w:eastAsia="zh-CN"/>
        </w:rPr>
      </w:pPr>
    </w:p>
    <w:p w14:paraId="10550544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设计满足条件覆盖，但不满足分支覆盖的测试用例</w:t>
      </w:r>
    </w:p>
    <w:p w14:paraId="1F4447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（条件覆盖：每个条件的True/False都要出现，但可以没有走到所有分支的路径）</w:t>
      </w:r>
    </w:p>
    <w:p w14:paraId="6EC6DFF2">
      <w:pPr>
        <w:rPr>
          <w:rFonts w:hint="default"/>
          <w:lang w:val="en-US" w:eastAsia="zh-CN"/>
        </w:rPr>
      </w:pPr>
    </w:p>
    <w:p w14:paraId="4D4B32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输入（金额 / VIP / 品种数）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说明</w:t>
      </w:r>
    </w:p>
    <w:p w14:paraId="2FEBDA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250 / 是 / 5件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金额≥200条件T、VIP=T</w:t>
      </w:r>
    </w:p>
    <w:p w14:paraId="48ED74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150 / 否 / 5件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金额≥200条件F、VIP=F</w:t>
      </w:r>
    </w:p>
    <w:p w14:paraId="69C729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 / 否 / 5件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金额≥400条件T</w:t>
      </w:r>
    </w:p>
    <w:p w14:paraId="6B7B47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300 / 否 / 12件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金额≥400条件F，品种数&gt;10条件T</w:t>
      </w:r>
    </w:p>
    <w:p w14:paraId="0836FA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 w14:paraId="04CBC989">
      <w:pPr>
        <w:rPr>
          <w:rFonts w:hint="default"/>
          <w:lang w:val="en-US" w:eastAsia="zh-CN"/>
        </w:rPr>
      </w:pPr>
    </w:p>
    <w:p w14:paraId="09AC76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每个基本条件（金额≥200，VIP卡，金额≥400，品种数&gt;10）都覆盖了T/F。</w:t>
      </w:r>
    </w:p>
    <w:p w14:paraId="5661DD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但是，比如金额≥400的True分支直接走到赠送5积分，跳过了后面判断品种数，所以分支未完全覆盖。</w:t>
      </w:r>
    </w:p>
    <w:p w14:paraId="08B4BCCB">
      <w:pPr>
        <w:rPr>
          <w:rFonts w:hint="default"/>
          <w:lang w:val="en-US" w:eastAsia="zh-CN"/>
        </w:rPr>
      </w:pPr>
    </w:p>
    <w:p w14:paraId="05D350C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3.设计满足条件组合覆盖的测试用例</w:t>
      </w:r>
    </w:p>
    <w:p w14:paraId="4C8E71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（条件组合覆盖：所有可能的条件组合都要出现）</w:t>
      </w:r>
    </w:p>
    <w:p w14:paraId="3C9DAE23">
      <w:pPr>
        <w:rPr>
          <w:rFonts w:hint="eastAsia"/>
          <w:lang w:val="en-US" w:eastAsia="zh-CN"/>
        </w:rPr>
      </w:pPr>
    </w:p>
    <w:p w14:paraId="776F2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条件组合：</w:t>
      </w:r>
    </w:p>
    <w:p w14:paraId="0D82D732">
      <w:pPr>
        <w:rPr>
          <w:rFonts w:hint="eastAsia"/>
          <w:lang w:val="en-US" w:eastAsia="zh-CN"/>
        </w:rPr>
      </w:pPr>
    </w:p>
    <w:p w14:paraId="4F8D0E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(金额≥200, VIP卡) = (T,T)、(T,F)、(F,T)、(F,F)</w:t>
      </w:r>
    </w:p>
    <w:p w14:paraId="48BC65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(金额≥400, 品种数&gt;10) = (T,T)、(T,F)、(F,T)、(F,F)</w:t>
      </w:r>
    </w:p>
    <w:p w14:paraId="7F49BC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测试用例表：</w:t>
      </w:r>
    </w:p>
    <w:p w14:paraId="4A3507A6">
      <w:pPr>
        <w:rPr>
          <w:rFonts w:hint="eastAsia"/>
          <w:lang w:val="en-US" w:eastAsia="zh-CN"/>
        </w:rPr>
      </w:pPr>
    </w:p>
    <w:p w14:paraId="7AF20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输入（金额 / VIP / 品种数）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说明</w:t>
      </w:r>
    </w:p>
    <w:p w14:paraId="3B09BF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 / 是 / 5件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金额≥200=T, VIP=T</w:t>
      </w:r>
    </w:p>
    <w:p w14:paraId="2968F2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250 / 否 / 5件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金额≥200=T, VIP=F</w:t>
      </w:r>
    </w:p>
    <w:p w14:paraId="51FF55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 / 是 / 5件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金额≥200=F, VIP=T</w:t>
      </w:r>
    </w:p>
    <w:p w14:paraId="6122C8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 / 否 / 5件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金额≥200=F, VIP=F</w:t>
      </w:r>
    </w:p>
    <w:p w14:paraId="0A5175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450 / 是 / 12件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金额≥400=T, 品种数&gt;10=T</w:t>
      </w:r>
    </w:p>
    <w:p w14:paraId="06B8D7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450 / 是 / 5件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金额≥400=T, 品种数&gt;10=F</w:t>
      </w:r>
    </w:p>
    <w:p w14:paraId="16152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350 / 是 / 12件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金额≥400=F, 品种数&gt;10=T</w:t>
      </w:r>
    </w:p>
    <w:p w14:paraId="75AB2C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350 / 是 / 5件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金额≥400=F, 品种数&gt;10=F</w:t>
      </w:r>
    </w:p>
    <w:p w14:paraId="536719EA">
      <w:pPr>
        <w:rPr>
          <w:rFonts w:hint="eastAsia"/>
          <w:lang w:val="en-US" w:eastAsia="zh-CN"/>
        </w:rPr>
      </w:pPr>
    </w:p>
    <w:p w14:paraId="30706E9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有程序错误不能被条件组合覆盖检出吗？</w:t>
      </w:r>
      <w:r>
        <w:rPr>
          <w:rFonts w:hint="eastAsia"/>
          <w:b/>
          <w:bCs/>
          <w:lang w:val="en-US" w:eastAsia="zh-CN"/>
        </w:rPr>
        <w:t>——</w:t>
      </w:r>
      <w:r>
        <w:rPr>
          <w:rFonts w:hint="default"/>
          <w:lang w:val="en-US" w:eastAsia="zh-CN"/>
        </w:rPr>
        <w:t>有可能！</w:t>
      </w:r>
    </w:p>
    <w:p w14:paraId="5A08127B">
      <w:pPr>
        <w:rPr>
          <w:rFonts w:hint="default"/>
          <w:lang w:val="en-US" w:eastAsia="zh-CN"/>
        </w:rPr>
      </w:pPr>
    </w:p>
    <w:p w14:paraId="027F92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如果程序内部比如写成：</w:t>
      </w:r>
    </w:p>
    <w:p w14:paraId="362BD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(金额 ≥ 200 and VIP卡 = 是)  // 写成金额 &gt; 200了</w:t>
      </w:r>
    </w:p>
    <w:p w14:paraId="4AFB48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或者if (金额 &gt;= 400 and 品种数 &gt; 10)  // 错误地用了 and 而不是 or</w:t>
      </w:r>
    </w:p>
    <w:p w14:paraId="063FFC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这种逻辑错误，虽然条件组合测试用例覆盖了各种输入，但由于逻辑结构本身错了，可能测试用例也不会暴露出来。</w:t>
      </w:r>
    </w:p>
    <w:p w14:paraId="42663A6C">
      <w:pPr>
        <w:rPr>
          <w:rFonts w:hint="default"/>
          <w:lang w:val="en-US" w:eastAsia="zh-CN"/>
        </w:rPr>
      </w:pPr>
    </w:p>
    <w:p w14:paraId="662B6C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举例：比如金额=450，品种数=5，本来金额≥400就应该送5分，但是如果程序误写成“金额≥400且品种数&gt;10”，测试用例虽然执行了，但无法发现程序少赠送5积分的错误。</w:t>
      </w:r>
    </w:p>
    <w:p w14:paraId="4C530699">
      <w:pPr>
        <w:rPr>
          <w:rFonts w:hint="default"/>
          <w:lang w:val="en-US" w:eastAsia="zh-CN"/>
        </w:rPr>
      </w:pPr>
    </w:p>
    <w:p w14:paraId="3BFD75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2910840</wp:posOffset>
            </wp:positionH>
            <wp:positionV relativeFrom="paragraph">
              <wp:posOffset>97790</wp:posOffset>
            </wp:positionV>
            <wp:extent cx="2077720" cy="3660775"/>
            <wp:effectExtent l="0" t="0" r="5080" b="9525"/>
            <wp:wrapTight wrapText="bothSides">
              <wp:wrapPolygon>
                <wp:start x="0" y="0"/>
                <wp:lineTo x="0" y="21506"/>
                <wp:lineTo x="21521" y="21506"/>
                <wp:lineTo x="21521" y="0"/>
                <wp:lineTo x="0" y="0"/>
              </wp:wrapPolygon>
            </wp:wrapTight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453640" cy="3700780"/>
            <wp:effectExtent l="0" t="0" r="1016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zZGIyM2VjYzJiNGE1MzliZmU1NDAwODk2OTFkOWIifQ=="/>
  </w:docVars>
  <w:rsids>
    <w:rsidRoot w:val="144E29B5"/>
    <w:rsid w:val="144E29B5"/>
    <w:rsid w:val="2A6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2025-04-27T11:37:00Z</dcterms:created>
  <dc:creator>HYC</dc:creator>
  <cp:lastModifiedBy>HYC</cp:lastModifiedBy>
  <dcterms:modified xsi:type="dcterms:W3CDTF">2025-04-27T12:03:44Z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7781D3784EC0462091732B4AE9A80B51_11</vt:lpwstr>
  </property>
</Properties>
</file>