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Information</w:t>
      </w:r>
    </w:p>
    <w:p>
      <w:pPr>
        <w:pStyle w:val="Subtitle"/>
      </w:pPr>
      <w:r>
        <w:t xml:space="preserve">TranscriptMetaAnalyst:</w:t>
      </w:r>
      <w:r>
        <w:t xml:space="preserve"> </w:t>
      </w:r>
      <w:r>
        <w:t xml:space="preserve">a</w:t>
      </w:r>
      <w:r>
        <w:t xml:space="preserve"> </w:t>
      </w:r>
      <w:r>
        <w:t xml:space="preserve">graphical</w:t>
      </w:r>
      <w:r>
        <w:t xml:space="preserve"> </w:t>
      </w:r>
      <w:r>
        <w:t xml:space="preserve">interface</w:t>
      </w:r>
      <w:r>
        <w:t xml:space="preserve"> </w:t>
      </w:r>
      <w:r>
        <w:t xml:space="preserve">for</w:t>
      </w:r>
      <w:r>
        <w:t xml:space="preserve"> </w:t>
      </w:r>
      <w:r>
        <w:t xml:space="preserve">the</w:t>
      </w:r>
      <w:r>
        <w:t xml:space="preserve"> </w:t>
      </w:r>
      <w:r>
        <w:t xml:space="preserve">gene-level</w:t>
      </w:r>
      <w:r>
        <w:t xml:space="preserve"> </w:t>
      </w:r>
      <w:r>
        <w:t xml:space="preserve">meta-analysis</w:t>
      </w:r>
      <w:r>
        <w:t xml:space="preserve"> </w:t>
      </w:r>
      <w:r>
        <w:t xml:space="preserve">of</w:t>
      </w:r>
      <w:r>
        <w:t xml:space="preserve"> </w:t>
      </w:r>
      <w:r>
        <w:t xml:space="preserve">RNA-Seq</w:t>
      </w:r>
      <w:r>
        <w:t xml:space="preserve"> </w:t>
      </w:r>
      <w:r>
        <w:t xml:space="preserve">and</w:t>
      </w:r>
      <w:r>
        <w:t xml:space="preserve"> </w:t>
      </w:r>
      <w:r>
        <w:t xml:space="preserve">microarray</w:t>
      </w:r>
      <w:r>
        <w:t xml:space="preserve"> </w:t>
      </w:r>
      <w:r>
        <w:t xml:space="preserve">studies</w:t>
      </w:r>
    </w:p>
    <w:p>
      <w:pPr>
        <w:pStyle w:val="FirstParagraph"/>
      </w:pPr>
      <w:r>
        <w:t xml:space="preserve">All results in this file were produced with the scripts in</w:t>
      </w:r>
      <w:r>
        <w:t xml:space="preserve"> </w:t>
      </w:r>
      <w:r>
        <w:rPr>
          <w:rStyle w:val="VerbatimChar"/>
        </w:rPr>
        <w:t xml:space="preserve">dev/supplementary/</w:t>
      </w:r>
      <w:r>
        <w:t xml:space="preserve"> </w:t>
      </w:r>
      <w:r>
        <w:t xml:space="preserve">of the TranscriptMetaAnalyst (TMA) repository, with fixed random seeds (seed 2026). They can be reproduced with</w:t>
      </w:r>
      <w:r>
        <w:t xml:space="preserve"> </w:t>
      </w:r>
      <w:r>
        <w:rPr>
          <w:rStyle w:val="VerbatimChar"/>
        </w:rPr>
        <w:t xml:space="preserve">NOT_CRAN=true Rscript dev/supplementary/run_all.R</w:t>
      </w:r>
      <w:r>
        <w:t xml:space="preserve">. Software: R 4.6.1; TranscriptMetaAnalyst 2.0.0; DESeq2 1.52.0; limma 3.68.5; edgeR 4.10.7. The test suite of the package has 822 testthat expectations in 161 tests (0 failed).</w:t>
      </w:r>
    </w:p>
    <w:bookmarkStart w:id="23" w:name="s1.-batch-effect-case-study"/>
    <w:p>
      <w:pPr>
        <w:pStyle w:val="Heading1"/>
      </w:pPr>
      <w:r>
        <w:t xml:space="preserve">S1. Batch-effect case study</w:t>
      </w:r>
    </w:p>
    <w:p>
      <w:pPr>
        <w:pStyle w:val="FirstParagraph"/>
      </w:pPr>
      <w:r>
        <w:rPr>
          <w:bCs/>
          <w:b/>
        </w:rPr>
        <w:t xml:space="preserve">Data.</w:t>
      </w:r>
      <w:r>
        <w:t xml:space="preserve"> </w:t>
      </w:r>
      <w:r>
        <w:t xml:space="preserve">The simulated benchmark data of</w:t>
      </w:r>
      <w:r>
        <w:t xml:space="preserve"> </w:t>
      </w:r>
      <w:r>
        <w:rPr>
          <w:rStyle w:val="VerbatimChar"/>
        </w:rPr>
        <w:t xml:space="preserve">dev/simulate_studies.R</w:t>
      </w:r>
      <w:r>
        <w:t xml:space="preserve"> </w:t>
      </w:r>
      <w:r>
        <w:t xml:space="preserve">were used, so that the truly differentially expressed genes are known. The data have 6 studies × 6 samples (3 control vs 3 treated) and 30,000 genes, with negative-binomial counts; 10% of the genes are truly DE (|log2FC| = 1.5, same direction in all studies), and every study has its own gene-wise baseline shift. In every study, the samples were split into two batches that are balanced with condition (batch 1: 2 control + 1 treated; batch 2: 1 control + 2 treated). The counts of batch 2 were multiplied by gene-specific log-normal factors (meanlog 0, sdlog 0.5, and sdlog 1 as a strong-batch scenario; a separate set of factors per study).</w:t>
      </w:r>
    </w:p>
    <w:p>
      <w:pPr>
        <w:pStyle w:val="BodyText"/>
      </w:pPr>
      <w:r>
        <w:rPr>
          <w:bCs/>
          <w:b/>
        </w:rPr>
        <w:t xml:space="preserve">Detection.</w:t>
      </w:r>
      <w:r>
        <w:t xml:space="preserve"> </w:t>
      </w:r>
      <w:r>
        <w:t xml:space="preserve">Before any differential expression analysis,</w:t>
      </w:r>
      <w:r>
        <w:t xml:space="preserve"> </w:t>
      </w:r>
      <w:r>
        <w:rPr>
          <w:rStyle w:val="VerbatimChar"/>
        </w:rPr>
        <w:t xml:space="preserve">batch_check()</w:t>
      </w:r>
      <w:r>
        <w:t xml:space="preserve"> </w:t>
      </w:r>
      <w:r>
        <w:t xml:space="preserve">(the</w:t>
      </w:r>
      <w:r>
        <w:t xml:space="preserve"> </w:t>
      </w:r>
      <w:r>
        <w:rPr>
          <w:iCs/>
          <w:i/>
        </w:rPr>
        <w:t xml:space="preserve">Check for batch effects</w:t>
      </w:r>
      <w:r>
        <w:t xml:space="preserve"> </w:t>
      </w:r>
      <w:r>
        <w:t xml:space="preserve">box of the app) flagged 6 of the 6 studies with sdlog 0.5 and 6 of 6 with sdlog 1, because batch explained as much of the variance of the first principal components as condition, or more (Table S1).</w:t>
      </w:r>
    </w:p>
    <w:p>
      <w:pPr>
        <w:pStyle w:val="TableCaption"/>
      </w:pPr>
      <w:r>
        <w:t xml:space="preserve">Table S1. batch_check() on the simulated data with a batch effect: share of the variance of the first principal components explained by condition and by batch, per study.</w:t>
      </w:r>
    </w:p>
    <w:tbl>
      <w:tblPr>
        <w:tblStyle w:val="Table"/>
        <w:tblW w:type="auto" w:w="0"/>
        <w:tblLook w:firstRow="1" w:lastRow="0" w:firstColumn="0" w:lastColumn="0" w:noHBand="0" w:noVBand="0" w:val="0020"/>
        <w:jc w:val="start"/>
        <w:tblCaption w:val="Table S1. batch_check() on the simulated data with a batch effect: share of the variance of the first principal components explained by condition and by batch, per study."/>
      </w:tblPr>
      <w:tblGrid>
        <w:gridCol w:w="1320"/>
        <w:gridCol w:w="1320"/>
        <w:gridCol w:w="1320"/>
        <w:gridCol w:w="1320"/>
        <w:gridCol w:w="1320"/>
        <w:gridCol w:w="1320"/>
      </w:tblGrid>
      <w:tr>
        <w:trPr>
          <w:tblHeader w:val="true"/>
        </w:trPr>
        <w:tc>
          <w:tcPr/>
          <w:p>
            <w:pPr>
              <w:pStyle w:val="Compact"/>
              <w:jc w:val="right"/>
            </w:pPr>
            <w:r>
              <w:t xml:space="preserve">sdlog</w:t>
            </w:r>
          </w:p>
        </w:tc>
        <w:tc>
          <w:tcPr/>
          <w:p>
            <w:pPr>
              <w:pStyle w:val="Compact"/>
              <w:jc w:val="left"/>
            </w:pPr>
            <w:r>
              <w:t xml:space="preserve">Study</w:t>
            </w:r>
          </w:p>
        </w:tc>
        <w:tc>
          <w:tcPr/>
          <w:p>
            <w:pPr>
              <w:pStyle w:val="Compact"/>
              <w:jc w:val="right"/>
            </w:pPr>
            <w:r>
              <w:t xml:space="preserve">Samples</w:t>
            </w:r>
          </w:p>
        </w:tc>
        <w:tc>
          <w:tcPr/>
          <w:p>
            <w:pPr>
              <w:pStyle w:val="Compact"/>
              <w:jc w:val="left"/>
            </w:pPr>
            <w:r>
              <w:t xml:space="preserve">Condition (%)</w:t>
            </w:r>
          </w:p>
        </w:tc>
        <w:tc>
          <w:tcPr/>
          <w:p>
            <w:pPr>
              <w:pStyle w:val="Compact"/>
              <w:jc w:val="left"/>
            </w:pPr>
            <w:r>
              <w:t xml:space="preserve">Batch (%)</w:t>
            </w:r>
          </w:p>
        </w:tc>
        <w:tc>
          <w:tcPr/>
          <w:p>
            <w:pPr>
              <w:pStyle w:val="Compact"/>
              <w:jc w:val="left"/>
            </w:pPr>
            <w:r>
              <w:t xml:space="preserve">Flagged</w:t>
            </w:r>
          </w:p>
        </w:tc>
      </w:tr>
      <w:tr>
        <w:tc>
          <w:tcPr/>
          <w:p>
            <w:pPr>
              <w:pStyle w:val="Compact"/>
              <w:jc w:val="right"/>
            </w:pPr>
            <w:r>
              <w:t xml:space="preserve">0.5</w:t>
            </w:r>
          </w:p>
        </w:tc>
        <w:tc>
          <w:tcPr/>
          <w:p>
            <w:pPr>
              <w:pStyle w:val="Compact"/>
              <w:jc w:val="left"/>
            </w:pPr>
            <w:r>
              <w:t xml:space="preserve">A</w:t>
            </w:r>
          </w:p>
        </w:tc>
        <w:tc>
          <w:tcPr/>
          <w:p>
            <w:pPr>
              <w:pStyle w:val="Compact"/>
              <w:jc w:val="right"/>
            </w:pPr>
            <w:r>
              <w:t xml:space="preserve">6</w:t>
            </w:r>
          </w:p>
        </w:tc>
        <w:tc>
          <w:tcPr/>
          <w:p>
            <w:pPr>
              <w:pStyle w:val="Compact"/>
              <w:jc w:val="left"/>
            </w:pPr>
            <w:r>
              <w:t xml:space="preserve">28.0</w:t>
            </w:r>
          </w:p>
        </w:tc>
        <w:tc>
          <w:tcPr/>
          <w:p>
            <w:pPr>
              <w:pStyle w:val="Compact"/>
              <w:jc w:val="left"/>
            </w:pPr>
            <w:r>
              <w:t xml:space="preserve">31.1</w:t>
            </w:r>
          </w:p>
        </w:tc>
        <w:tc>
          <w:tcPr/>
          <w:p>
            <w:pPr>
              <w:pStyle w:val="Compact"/>
              <w:jc w:val="left"/>
            </w:pPr>
            <w:r>
              <w:t xml:space="preserve">yes</w:t>
            </w:r>
          </w:p>
        </w:tc>
      </w:tr>
      <w:tr>
        <w:tc>
          <w:tcPr/>
          <w:p>
            <w:pPr>
              <w:pStyle w:val="Compact"/>
              <w:jc w:val="right"/>
            </w:pPr>
            <w:r>
              <w:t xml:space="preserve">0.5</w:t>
            </w:r>
          </w:p>
        </w:tc>
        <w:tc>
          <w:tcPr/>
          <w:p>
            <w:pPr>
              <w:pStyle w:val="Compact"/>
              <w:jc w:val="left"/>
            </w:pPr>
            <w:r>
              <w:t xml:space="preserve">B</w:t>
            </w:r>
          </w:p>
        </w:tc>
        <w:tc>
          <w:tcPr/>
          <w:p>
            <w:pPr>
              <w:pStyle w:val="Compact"/>
              <w:jc w:val="right"/>
            </w:pPr>
            <w:r>
              <w:t xml:space="preserve">6</w:t>
            </w:r>
          </w:p>
        </w:tc>
        <w:tc>
          <w:tcPr/>
          <w:p>
            <w:pPr>
              <w:pStyle w:val="Compact"/>
              <w:jc w:val="left"/>
            </w:pPr>
            <w:r>
              <w:t xml:space="preserve">26.6</w:t>
            </w:r>
          </w:p>
        </w:tc>
        <w:tc>
          <w:tcPr/>
          <w:p>
            <w:pPr>
              <w:pStyle w:val="Compact"/>
              <w:jc w:val="left"/>
            </w:pPr>
            <w:r>
              <w:t xml:space="preserve">30.6</w:t>
            </w:r>
          </w:p>
        </w:tc>
        <w:tc>
          <w:tcPr/>
          <w:p>
            <w:pPr>
              <w:pStyle w:val="Compact"/>
              <w:jc w:val="left"/>
            </w:pPr>
            <w:r>
              <w:t xml:space="preserve">yes</w:t>
            </w:r>
          </w:p>
        </w:tc>
      </w:tr>
      <w:tr>
        <w:tc>
          <w:tcPr/>
          <w:p>
            <w:pPr>
              <w:pStyle w:val="Compact"/>
              <w:jc w:val="right"/>
            </w:pPr>
            <w:r>
              <w:t xml:space="preserve">0.5</w:t>
            </w:r>
          </w:p>
        </w:tc>
        <w:tc>
          <w:tcPr/>
          <w:p>
            <w:pPr>
              <w:pStyle w:val="Compact"/>
              <w:jc w:val="left"/>
            </w:pPr>
            <w:r>
              <w:t xml:space="preserve">C</w:t>
            </w:r>
          </w:p>
        </w:tc>
        <w:tc>
          <w:tcPr/>
          <w:p>
            <w:pPr>
              <w:pStyle w:val="Compact"/>
              <w:jc w:val="right"/>
            </w:pPr>
            <w:r>
              <w:t xml:space="preserve">6</w:t>
            </w:r>
          </w:p>
        </w:tc>
        <w:tc>
          <w:tcPr/>
          <w:p>
            <w:pPr>
              <w:pStyle w:val="Compact"/>
              <w:jc w:val="left"/>
            </w:pPr>
            <w:r>
              <w:t xml:space="preserve">26.4</w:t>
            </w:r>
          </w:p>
        </w:tc>
        <w:tc>
          <w:tcPr/>
          <w:p>
            <w:pPr>
              <w:pStyle w:val="Compact"/>
              <w:jc w:val="left"/>
            </w:pPr>
            <w:r>
              <w:t xml:space="preserve">31.6</w:t>
            </w:r>
          </w:p>
        </w:tc>
        <w:tc>
          <w:tcPr/>
          <w:p>
            <w:pPr>
              <w:pStyle w:val="Compact"/>
              <w:jc w:val="left"/>
            </w:pPr>
            <w:r>
              <w:t xml:space="preserve">yes</w:t>
            </w:r>
          </w:p>
        </w:tc>
      </w:tr>
      <w:tr>
        <w:tc>
          <w:tcPr/>
          <w:p>
            <w:pPr>
              <w:pStyle w:val="Compact"/>
              <w:jc w:val="right"/>
            </w:pPr>
            <w:r>
              <w:t xml:space="preserve">0.5</w:t>
            </w:r>
          </w:p>
        </w:tc>
        <w:tc>
          <w:tcPr/>
          <w:p>
            <w:pPr>
              <w:pStyle w:val="Compact"/>
              <w:jc w:val="left"/>
            </w:pPr>
            <w:r>
              <w:t xml:space="preserve">D</w:t>
            </w:r>
          </w:p>
        </w:tc>
        <w:tc>
          <w:tcPr/>
          <w:p>
            <w:pPr>
              <w:pStyle w:val="Compact"/>
              <w:jc w:val="right"/>
            </w:pPr>
            <w:r>
              <w:t xml:space="preserve">6</w:t>
            </w:r>
          </w:p>
        </w:tc>
        <w:tc>
          <w:tcPr/>
          <w:p>
            <w:pPr>
              <w:pStyle w:val="Compact"/>
              <w:jc w:val="left"/>
            </w:pPr>
            <w:r>
              <w:t xml:space="preserve">27.9</w:t>
            </w:r>
          </w:p>
        </w:tc>
        <w:tc>
          <w:tcPr/>
          <w:p>
            <w:pPr>
              <w:pStyle w:val="Compact"/>
              <w:jc w:val="left"/>
            </w:pPr>
            <w:r>
              <w:t xml:space="preserve">32.1</w:t>
            </w:r>
          </w:p>
        </w:tc>
        <w:tc>
          <w:tcPr/>
          <w:p>
            <w:pPr>
              <w:pStyle w:val="Compact"/>
              <w:jc w:val="left"/>
            </w:pPr>
            <w:r>
              <w:t xml:space="preserve">yes</w:t>
            </w:r>
          </w:p>
        </w:tc>
      </w:tr>
      <w:tr>
        <w:tc>
          <w:tcPr/>
          <w:p>
            <w:pPr>
              <w:pStyle w:val="Compact"/>
              <w:jc w:val="right"/>
            </w:pPr>
            <w:r>
              <w:t xml:space="preserve">0.5</w:t>
            </w:r>
          </w:p>
        </w:tc>
        <w:tc>
          <w:tcPr/>
          <w:p>
            <w:pPr>
              <w:pStyle w:val="Compact"/>
              <w:jc w:val="left"/>
            </w:pPr>
            <w:r>
              <w:t xml:space="preserve">E</w:t>
            </w:r>
          </w:p>
        </w:tc>
        <w:tc>
          <w:tcPr/>
          <w:p>
            <w:pPr>
              <w:pStyle w:val="Compact"/>
              <w:jc w:val="right"/>
            </w:pPr>
            <w:r>
              <w:t xml:space="preserve">6</w:t>
            </w:r>
          </w:p>
        </w:tc>
        <w:tc>
          <w:tcPr/>
          <w:p>
            <w:pPr>
              <w:pStyle w:val="Compact"/>
              <w:jc w:val="left"/>
            </w:pPr>
            <w:r>
              <w:t xml:space="preserve">28.6</w:t>
            </w:r>
          </w:p>
        </w:tc>
        <w:tc>
          <w:tcPr/>
          <w:p>
            <w:pPr>
              <w:pStyle w:val="Compact"/>
              <w:jc w:val="left"/>
            </w:pPr>
            <w:r>
              <w:t xml:space="preserve">31.8</w:t>
            </w:r>
          </w:p>
        </w:tc>
        <w:tc>
          <w:tcPr/>
          <w:p>
            <w:pPr>
              <w:pStyle w:val="Compact"/>
              <w:jc w:val="left"/>
            </w:pPr>
            <w:r>
              <w:t xml:space="preserve">yes</w:t>
            </w:r>
          </w:p>
        </w:tc>
      </w:tr>
      <w:tr>
        <w:tc>
          <w:tcPr/>
          <w:p>
            <w:pPr>
              <w:pStyle w:val="Compact"/>
              <w:jc w:val="right"/>
            </w:pPr>
            <w:r>
              <w:t xml:space="preserve">0.5</w:t>
            </w:r>
          </w:p>
        </w:tc>
        <w:tc>
          <w:tcPr/>
          <w:p>
            <w:pPr>
              <w:pStyle w:val="Compact"/>
              <w:jc w:val="left"/>
            </w:pPr>
            <w:r>
              <w:t xml:space="preserve">F</w:t>
            </w:r>
          </w:p>
        </w:tc>
        <w:tc>
          <w:tcPr/>
          <w:p>
            <w:pPr>
              <w:pStyle w:val="Compact"/>
              <w:jc w:val="right"/>
            </w:pPr>
            <w:r>
              <w:t xml:space="preserve">6</w:t>
            </w:r>
          </w:p>
        </w:tc>
        <w:tc>
          <w:tcPr/>
          <w:p>
            <w:pPr>
              <w:pStyle w:val="Compact"/>
              <w:jc w:val="left"/>
            </w:pPr>
            <w:r>
              <w:t xml:space="preserve">27.9</w:t>
            </w:r>
          </w:p>
        </w:tc>
        <w:tc>
          <w:tcPr/>
          <w:p>
            <w:pPr>
              <w:pStyle w:val="Compact"/>
              <w:jc w:val="left"/>
            </w:pPr>
            <w:r>
              <w:t xml:space="preserve">32.3</w:t>
            </w:r>
          </w:p>
        </w:tc>
        <w:tc>
          <w:tcPr/>
          <w:p>
            <w:pPr>
              <w:pStyle w:val="Compact"/>
              <w:jc w:val="left"/>
            </w:pPr>
            <w:r>
              <w:t xml:space="preserve">yes</w:t>
            </w:r>
          </w:p>
        </w:tc>
      </w:tr>
      <w:tr>
        <w:tc>
          <w:tcPr/>
          <w:p>
            <w:pPr>
              <w:pStyle w:val="Compact"/>
              <w:jc w:val="right"/>
            </w:pPr>
            <w:r>
              <w:t xml:space="preserve">1.0</w:t>
            </w:r>
          </w:p>
        </w:tc>
        <w:tc>
          <w:tcPr/>
          <w:p>
            <w:pPr>
              <w:pStyle w:val="Compact"/>
              <w:jc w:val="left"/>
            </w:pPr>
            <w:r>
              <w:t xml:space="preserve">A</w:t>
            </w:r>
          </w:p>
        </w:tc>
        <w:tc>
          <w:tcPr/>
          <w:p>
            <w:pPr>
              <w:pStyle w:val="Compact"/>
              <w:jc w:val="right"/>
            </w:pPr>
            <w:r>
              <w:t xml:space="preserve">6</w:t>
            </w:r>
          </w:p>
        </w:tc>
        <w:tc>
          <w:tcPr/>
          <w:p>
            <w:pPr>
              <w:pStyle w:val="Compact"/>
              <w:jc w:val="left"/>
            </w:pPr>
            <w:r>
              <w:t xml:space="preserve">16.6</w:t>
            </w:r>
          </w:p>
        </w:tc>
        <w:tc>
          <w:tcPr/>
          <w:p>
            <w:pPr>
              <w:pStyle w:val="Compact"/>
              <w:jc w:val="left"/>
            </w:pPr>
            <w:r>
              <w:t xml:space="preserve">76.4</w:t>
            </w:r>
          </w:p>
        </w:tc>
        <w:tc>
          <w:tcPr/>
          <w:p>
            <w:pPr>
              <w:pStyle w:val="Compact"/>
              <w:jc w:val="left"/>
            </w:pPr>
            <w:r>
              <w:t xml:space="preserve">yes</w:t>
            </w:r>
          </w:p>
        </w:tc>
      </w:tr>
      <w:tr>
        <w:tc>
          <w:tcPr/>
          <w:p>
            <w:pPr>
              <w:pStyle w:val="Compact"/>
              <w:jc w:val="right"/>
            </w:pPr>
            <w:r>
              <w:t xml:space="preserve">1.0</w:t>
            </w:r>
          </w:p>
        </w:tc>
        <w:tc>
          <w:tcPr/>
          <w:p>
            <w:pPr>
              <w:pStyle w:val="Compact"/>
              <w:jc w:val="left"/>
            </w:pPr>
            <w:r>
              <w:t xml:space="preserve">B</w:t>
            </w:r>
          </w:p>
        </w:tc>
        <w:tc>
          <w:tcPr/>
          <w:p>
            <w:pPr>
              <w:pStyle w:val="Compact"/>
              <w:jc w:val="right"/>
            </w:pPr>
            <w:r>
              <w:t xml:space="preserve">6</w:t>
            </w:r>
          </w:p>
        </w:tc>
        <w:tc>
          <w:tcPr/>
          <w:p>
            <w:pPr>
              <w:pStyle w:val="Compact"/>
              <w:jc w:val="left"/>
            </w:pPr>
            <w:r>
              <w:t xml:space="preserve">18.3</w:t>
            </w:r>
          </w:p>
        </w:tc>
        <w:tc>
          <w:tcPr/>
          <w:p>
            <w:pPr>
              <w:pStyle w:val="Compact"/>
              <w:jc w:val="left"/>
            </w:pPr>
            <w:r>
              <w:t xml:space="preserve">74.7</w:t>
            </w:r>
          </w:p>
        </w:tc>
        <w:tc>
          <w:tcPr/>
          <w:p>
            <w:pPr>
              <w:pStyle w:val="Compact"/>
              <w:jc w:val="left"/>
            </w:pPr>
            <w:r>
              <w:t xml:space="preserve">yes</w:t>
            </w:r>
          </w:p>
        </w:tc>
      </w:tr>
      <w:tr>
        <w:tc>
          <w:tcPr/>
          <w:p>
            <w:pPr>
              <w:pStyle w:val="Compact"/>
              <w:jc w:val="right"/>
            </w:pPr>
            <w:r>
              <w:t xml:space="preserve">1.0</w:t>
            </w:r>
          </w:p>
        </w:tc>
        <w:tc>
          <w:tcPr/>
          <w:p>
            <w:pPr>
              <w:pStyle w:val="Compact"/>
              <w:jc w:val="left"/>
            </w:pPr>
            <w:r>
              <w:t xml:space="preserve">C</w:t>
            </w:r>
          </w:p>
        </w:tc>
        <w:tc>
          <w:tcPr/>
          <w:p>
            <w:pPr>
              <w:pStyle w:val="Compact"/>
              <w:jc w:val="right"/>
            </w:pPr>
            <w:r>
              <w:t xml:space="preserve">6</w:t>
            </w:r>
          </w:p>
        </w:tc>
        <w:tc>
          <w:tcPr/>
          <w:p>
            <w:pPr>
              <w:pStyle w:val="Compact"/>
              <w:jc w:val="left"/>
            </w:pPr>
            <w:r>
              <w:t xml:space="preserve">18.3</w:t>
            </w:r>
          </w:p>
        </w:tc>
        <w:tc>
          <w:tcPr/>
          <w:p>
            <w:pPr>
              <w:pStyle w:val="Compact"/>
              <w:jc w:val="left"/>
            </w:pPr>
            <w:r>
              <w:t xml:space="preserve">76.9</w:t>
            </w:r>
          </w:p>
        </w:tc>
        <w:tc>
          <w:tcPr/>
          <w:p>
            <w:pPr>
              <w:pStyle w:val="Compact"/>
              <w:jc w:val="left"/>
            </w:pPr>
            <w:r>
              <w:t xml:space="preserve">yes</w:t>
            </w:r>
          </w:p>
        </w:tc>
      </w:tr>
      <w:tr>
        <w:tc>
          <w:tcPr/>
          <w:p>
            <w:pPr>
              <w:pStyle w:val="Compact"/>
              <w:jc w:val="right"/>
            </w:pPr>
            <w:r>
              <w:t xml:space="preserve">1.0</w:t>
            </w:r>
          </w:p>
        </w:tc>
        <w:tc>
          <w:tcPr/>
          <w:p>
            <w:pPr>
              <w:pStyle w:val="Compact"/>
              <w:jc w:val="left"/>
            </w:pPr>
            <w:r>
              <w:t xml:space="preserve">D</w:t>
            </w:r>
          </w:p>
        </w:tc>
        <w:tc>
          <w:tcPr/>
          <w:p>
            <w:pPr>
              <w:pStyle w:val="Compact"/>
              <w:jc w:val="right"/>
            </w:pPr>
            <w:r>
              <w:t xml:space="preserve">6</w:t>
            </w:r>
          </w:p>
        </w:tc>
        <w:tc>
          <w:tcPr/>
          <w:p>
            <w:pPr>
              <w:pStyle w:val="Compact"/>
              <w:jc w:val="left"/>
            </w:pPr>
            <w:r>
              <w:t xml:space="preserve">18.2</w:t>
            </w:r>
          </w:p>
        </w:tc>
        <w:tc>
          <w:tcPr/>
          <w:p>
            <w:pPr>
              <w:pStyle w:val="Compact"/>
              <w:jc w:val="left"/>
            </w:pPr>
            <w:r>
              <w:t xml:space="preserve">72.5</w:t>
            </w:r>
          </w:p>
        </w:tc>
        <w:tc>
          <w:tcPr/>
          <w:p>
            <w:pPr>
              <w:pStyle w:val="Compact"/>
              <w:jc w:val="left"/>
            </w:pPr>
            <w:r>
              <w:t xml:space="preserve">yes</w:t>
            </w:r>
          </w:p>
        </w:tc>
      </w:tr>
      <w:tr>
        <w:tc>
          <w:tcPr/>
          <w:p>
            <w:pPr>
              <w:pStyle w:val="Compact"/>
              <w:jc w:val="right"/>
            </w:pPr>
            <w:r>
              <w:t xml:space="preserve">1.0</w:t>
            </w:r>
          </w:p>
        </w:tc>
        <w:tc>
          <w:tcPr/>
          <w:p>
            <w:pPr>
              <w:pStyle w:val="Compact"/>
              <w:jc w:val="left"/>
            </w:pPr>
            <w:r>
              <w:t xml:space="preserve">E</w:t>
            </w:r>
          </w:p>
        </w:tc>
        <w:tc>
          <w:tcPr/>
          <w:p>
            <w:pPr>
              <w:pStyle w:val="Compact"/>
              <w:jc w:val="right"/>
            </w:pPr>
            <w:r>
              <w:t xml:space="preserve">6</w:t>
            </w:r>
          </w:p>
        </w:tc>
        <w:tc>
          <w:tcPr/>
          <w:p>
            <w:pPr>
              <w:pStyle w:val="Compact"/>
              <w:jc w:val="left"/>
            </w:pPr>
            <w:r>
              <w:t xml:space="preserve">18.4</w:t>
            </w:r>
          </w:p>
        </w:tc>
        <w:tc>
          <w:tcPr/>
          <w:p>
            <w:pPr>
              <w:pStyle w:val="Compact"/>
              <w:jc w:val="left"/>
            </w:pPr>
            <w:r>
              <w:t xml:space="preserve">76.7</w:t>
            </w:r>
          </w:p>
        </w:tc>
        <w:tc>
          <w:tcPr/>
          <w:p>
            <w:pPr>
              <w:pStyle w:val="Compact"/>
              <w:jc w:val="left"/>
            </w:pPr>
            <w:r>
              <w:t xml:space="preserve">yes</w:t>
            </w:r>
          </w:p>
        </w:tc>
      </w:tr>
      <w:tr>
        <w:tc>
          <w:tcPr/>
          <w:p>
            <w:pPr>
              <w:pStyle w:val="Compact"/>
              <w:jc w:val="right"/>
            </w:pPr>
            <w:r>
              <w:t xml:space="preserve">1.0</w:t>
            </w:r>
          </w:p>
        </w:tc>
        <w:tc>
          <w:tcPr/>
          <w:p>
            <w:pPr>
              <w:pStyle w:val="Compact"/>
              <w:jc w:val="left"/>
            </w:pPr>
            <w:r>
              <w:t xml:space="preserve">F</w:t>
            </w:r>
          </w:p>
        </w:tc>
        <w:tc>
          <w:tcPr/>
          <w:p>
            <w:pPr>
              <w:pStyle w:val="Compact"/>
              <w:jc w:val="right"/>
            </w:pPr>
            <w:r>
              <w:t xml:space="preserve">6</w:t>
            </w:r>
          </w:p>
        </w:tc>
        <w:tc>
          <w:tcPr/>
          <w:p>
            <w:pPr>
              <w:pStyle w:val="Compact"/>
              <w:jc w:val="left"/>
            </w:pPr>
            <w:r>
              <w:t xml:space="preserve">17.5</w:t>
            </w:r>
          </w:p>
        </w:tc>
        <w:tc>
          <w:tcPr/>
          <w:p>
            <w:pPr>
              <w:pStyle w:val="Compact"/>
              <w:jc w:val="left"/>
            </w:pPr>
            <w:r>
              <w:t xml:space="preserve">73.4</w:t>
            </w:r>
          </w:p>
        </w:tc>
        <w:tc>
          <w:tcPr/>
          <w:p>
            <w:pPr>
              <w:pStyle w:val="Compact"/>
              <w:jc w:val="left"/>
            </w:pPr>
            <w:r>
              <w:t xml:space="preserve">yes</w:t>
            </w:r>
          </w:p>
        </w:tc>
      </w:tr>
    </w:tbl>
    <w:p>
      <w:pPr>
        <w:pStyle w:val="BodyText"/>
      </w:pPr>
      <w:r>
        <w:rPr>
          <w:bCs/>
          <w:b/>
        </w:rPr>
        <w:t xml:space="preserve">Correction.</w:t>
      </w:r>
      <w:r>
        <w:t xml:space="preserve"> </w:t>
      </w:r>
      <w:r>
        <w:t xml:space="preserve">The data were analysed in four ways: (i) the original data without a batch effect (reference), (ii) the data with the batch effect, batch ignored, (iii) batch in the DE model (</w:t>
      </w:r>
      <w:r>
        <w:rPr>
          <w:rStyle w:val="VerbatimChar"/>
        </w:rPr>
        <w:t xml:space="preserve">~ batch + condition</w:t>
      </w:r>
      <w:r>
        <w:t xml:space="preserve">), and (iv) ComBat-seq on the raw counts, each with DESeq2 and Fisher’s or the inverse-normal method (Table S2, Figure S1). With sdlog 0.5 and Fisher’s method, the sensitivity (TPR) was 86.2% without a batch effect, 83.4% with batch ignored, 81.8% with batch in the model and 84.9% with ComBat-seq; the false discovery proportions (FDP) were 0.6%, 0.6%, 0.7% and 7.5%. With the strong batch effect (sdlog 1), ignoring batch lowered the TPR to 68.6%, while batch in the DE model kept it at 82.5% with an FDP of 0.8%. ComBat-seq recovered more true DEGs but at a higher FDP (7.5%), in line with the known over-confidence of tests on batch-corrected data (Nygaard et al., 2016); TMA therefore recommends batch in the DE model.</w:t>
      </w:r>
    </w:p>
    <w:p>
      <w:pPr>
        <w:pStyle w:val="TableCaption"/>
      </w:pPr>
      <w:r>
        <w:t xml:space="preserve">Table S2. Meta-analysis DEGs (DESeq2 per study) for each batch strategy: number of DEGs, sensitivity (TPR) and false discovery proportion (FDP) against the 3,000 truly DE genes, and overlap (Jaccard index) with the DEGs of the reference analysis (no batch effect, same meta-analysis method).</w:t>
      </w:r>
    </w:p>
    <w:tbl>
      <w:tblPr>
        <w:tblStyle w:val="Table"/>
        <w:tblW w:type="pct" w:w="5000"/>
        <w:tblLook w:firstRow="1" w:lastRow="0" w:firstColumn="0" w:lastColumn="0" w:noHBand="0" w:noVBand="0" w:val="0020"/>
        <w:jc w:val="start"/>
        <w:tblCaption w:val="Table S2. Meta-analysis DEGs (DESeq2 per study) for each batch strategy: number of DEGs, sensitivity (TPR) and false discovery proportion (FDP) against the 3,000 truly DE genes, and overlap (Jaccard index) with the DEGs of the reference analysis (no batch effect, same meta-analysis method)."/>
      </w:tblPr>
      <w:tblGrid>
        <w:gridCol w:w="522"/>
        <w:gridCol w:w="2436"/>
        <w:gridCol w:w="1305"/>
        <w:gridCol w:w="435"/>
        <w:gridCol w:w="696"/>
        <w:gridCol w:w="696"/>
        <w:gridCol w:w="1827"/>
      </w:tblGrid>
      <w:tr>
        <w:trPr>
          <w:tblHeader w:val="true"/>
        </w:trPr>
        <w:tc>
          <w:tcPr/>
          <w:p>
            <w:pPr>
              <w:pStyle w:val="Compact"/>
              <w:jc w:val="right"/>
            </w:pPr>
            <w:r>
              <w:t xml:space="preserve">sdlog</w:t>
            </w:r>
          </w:p>
        </w:tc>
        <w:tc>
          <w:tcPr/>
          <w:p>
            <w:pPr>
              <w:pStyle w:val="Compact"/>
              <w:jc w:val="left"/>
            </w:pPr>
            <w:r>
              <w:t xml:space="preserve">Strategy</w:t>
            </w:r>
          </w:p>
        </w:tc>
        <w:tc>
          <w:tcPr/>
          <w:p>
            <w:pPr>
              <w:pStyle w:val="Compact"/>
              <w:jc w:val="left"/>
            </w:pPr>
            <w:r>
              <w:t xml:space="preserve">Meta-analysis</w:t>
            </w:r>
          </w:p>
        </w:tc>
        <w:tc>
          <w:tcPr/>
          <w:p>
            <w:pPr>
              <w:pStyle w:val="Compact"/>
              <w:jc w:val="right"/>
            </w:pPr>
            <w:r>
              <w:t xml:space="preserve">DEGs</w:t>
            </w:r>
          </w:p>
        </w:tc>
        <w:tc>
          <w:tcPr/>
          <w:p>
            <w:pPr>
              <w:pStyle w:val="Compact"/>
              <w:jc w:val="left"/>
            </w:pPr>
            <w:r>
              <w:t xml:space="preserve">TPR (%)</w:t>
            </w:r>
          </w:p>
        </w:tc>
        <w:tc>
          <w:tcPr/>
          <w:p>
            <w:pPr>
              <w:pStyle w:val="Compact"/>
              <w:jc w:val="left"/>
            </w:pPr>
            <w:r>
              <w:t xml:space="preserve">FDP (%)</w:t>
            </w:r>
          </w:p>
        </w:tc>
        <w:tc>
          <w:tcPr/>
          <w:p>
            <w:pPr>
              <w:pStyle w:val="Compact"/>
              <w:jc w:val="left"/>
            </w:pPr>
            <w:r>
              <w:t xml:space="preserve">Jaccard vs reference</w:t>
            </w:r>
          </w:p>
        </w:tc>
      </w:tr>
      <w:tr>
        <w:tc>
          <w:tcPr/>
          <w:p>
            <w:pPr>
              <w:pStyle w:val="Compact"/>
              <w:jc w:val="right"/>
            </w:pPr>
            <w:r>
              <w:t xml:space="preserve">0.5</w:t>
            </w:r>
          </w:p>
        </w:tc>
        <w:tc>
          <w:tcPr/>
          <w:p>
            <w:pPr>
              <w:pStyle w:val="Compact"/>
              <w:jc w:val="left"/>
            </w:pPr>
            <w:r>
              <w:t xml:space="preserve">No batch effect (reference)</w:t>
            </w:r>
          </w:p>
        </w:tc>
        <w:tc>
          <w:tcPr/>
          <w:p>
            <w:pPr>
              <w:pStyle w:val="Compact"/>
              <w:jc w:val="left"/>
            </w:pPr>
            <w:r>
              <w:t xml:space="preserve">Fisher</w:t>
            </w:r>
          </w:p>
        </w:tc>
        <w:tc>
          <w:tcPr/>
          <w:p>
            <w:pPr>
              <w:pStyle w:val="Compact"/>
              <w:jc w:val="right"/>
            </w:pPr>
            <w:r>
              <w:t xml:space="preserve">2603</w:t>
            </w:r>
          </w:p>
        </w:tc>
        <w:tc>
          <w:tcPr/>
          <w:p>
            <w:pPr>
              <w:pStyle w:val="Compact"/>
              <w:jc w:val="left"/>
            </w:pPr>
            <w:r>
              <w:t xml:space="preserve">86.2</w:t>
            </w:r>
          </w:p>
        </w:tc>
        <w:tc>
          <w:tcPr/>
          <w:p>
            <w:pPr>
              <w:pStyle w:val="Compact"/>
              <w:jc w:val="left"/>
            </w:pPr>
            <w:r>
              <w:t xml:space="preserve">0.6</w:t>
            </w:r>
          </w:p>
        </w:tc>
        <w:tc>
          <w:tcPr/>
          <w:p>
            <w:pPr>
              <w:pStyle w:val="Compact"/>
              <w:jc w:val="left"/>
            </w:pPr>
            <w:r>
              <w:t xml:space="preserve">1.000</w:t>
            </w:r>
          </w:p>
        </w:tc>
      </w:tr>
      <w:tr>
        <w:tc>
          <w:tcPr/>
          <w:p>
            <w:pPr>
              <w:pStyle w:val="Compact"/>
              <w:jc w:val="right"/>
            </w:pPr>
            <w:r>
              <w:t xml:space="preserve">0.5</w:t>
            </w:r>
          </w:p>
        </w:tc>
        <w:tc>
          <w:tcPr/>
          <w:p>
            <w:pPr>
              <w:pStyle w:val="Compact"/>
              <w:jc w:val="left"/>
            </w:pPr>
            <w:r>
              <w:t xml:space="preserve">Batch ignored</w:t>
            </w:r>
          </w:p>
        </w:tc>
        <w:tc>
          <w:tcPr/>
          <w:p>
            <w:pPr>
              <w:pStyle w:val="Compact"/>
              <w:jc w:val="left"/>
            </w:pPr>
            <w:r>
              <w:t xml:space="preserve">Fisher</w:t>
            </w:r>
          </w:p>
        </w:tc>
        <w:tc>
          <w:tcPr/>
          <w:p>
            <w:pPr>
              <w:pStyle w:val="Compact"/>
              <w:jc w:val="right"/>
            </w:pPr>
            <w:r>
              <w:t xml:space="preserve">2516</w:t>
            </w:r>
          </w:p>
        </w:tc>
        <w:tc>
          <w:tcPr/>
          <w:p>
            <w:pPr>
              <w:pStyle w:val="Compact"/>
              <w:jc w:val="left"/>
            </w:pPr>
            <w:r>
              <w:t xml:space="preserve">83.4</w:t>
            </w:r>
          </w:p>
        </w:tc>
        <w:tc>
          <w:tcPr/>
          <w:p>
            <w:pPr>
              <w:pStyle w:val="Compact"/>
              <w:jc w:val="left"/>
            </w:pPr>
            <w:r>
              <w:t xml:space="preserve">0.6</w:t>
            </w:r>
          </w:p>
        </w:tc>
        <w:tc>
          <w:tcPr/>
          <w:p>
            <w:pPr>
              <w:pStyle w:val="Compact"/>
              <w:jc w:val="left"/>
            </w:pPr>
            <w:r>
              <w:t xml:space="preserve">0.933</w:t>
            </w:r>
          </w:p>
        </w:tc>
      </w:tr>
      <w:tr>
        <w:tc>
          <w:tcPr/>
          <w:p>
            <w:pPr>
              <w:pStyle w:val="Compact"/>
              <w:jc w:val="right"/>
            </w:pPr>
            <w:r>
              <w:t xml:space="preserve">0.5</w:t>
            </w:r>
          </w:p>
        </w:tc>
        <w:tc>
          <w:tcPr/>
          <w:p>
            <w:pPr>
              <w:pStyle w:val="Compact"/>
              <w:jc w:val="left"/>
            </w:pPr>
            <w:r>
              <w:t xml:space="preserve">Batch in the DE model</w:t>
            </w:r>
          </w:p>
        </w:tc>
        <w:tc>
          <w:tcPr/>
          <w:p>
            <w:pPr>
              <w:pStyle w:val="Compact"/>
              <w:jc w:val="left"/>
            </w:pPr>
            <w:r>
              <w:t xml:space="preserve">Fisher</w:t>
            </w:r>
          </w:p>
        </w:tc>
        <w:tc>
          <w:tcPr/>
          <w:p>
            <w:pPr>
              <w:pStyle w:val="Compact"/>
              <w:jc w:val="right"/>
            </w:pPr>
            <w:r>
              <w:t xml:space="preserve">2472</w:t>
            </w:r>
          </w:p>
        </w:tc>
        <w:tc>
          <w:tcPr/>
          <w:p>
            <w:pPr>
              <w:pStyle w:val="Compact"/>
              <w:jc w:val="left"/>
            </w:pPr>
            <w:r>
              <w:t xml:space="preserve">81.8</w:t>
            </w:r>
          </w:p>
        </w:tc>
        <w:tc>
          <w:tcPr/>
          <w:p>
            <w:pPr>
              <w:pStyle w:val="Compact"/>
              <w:jc w:val="left"/>
            </w:pPr>
            <w:r>
              <w:t xml:space="preserve">0.7</w:t>
            </w:r>
          </w:p>
        </w:tc>
        <w:tc>
          <w:tcPr/>
          <w:p>
            <w:pPr>
              <w:pStyle w:val="Compact"/>
              <w:jc w:val="left"/>
            </w:pPr>
            <w:r>
              <w:t xml:space="preserve">0.912</w:t>
            </w:r>
          </w:p>
        </w:tc>
      </w:tr>
      <w:tr>
        <w:tc>
          <w:tcPr/>
          <w:p>
            <w:pPr>
              <w:pStyle w:val="Compact"/>
              <w:jc w:val="right"/>
            </w:pPr>
            <w:r>
              <w:t xml:space="preserve">0.5</w:t>
            </w:r>
          </w:p>
        </w:tc>
        <w:tc>
          <w:tcPr/>
          <w:p>
            <w:pPr>
              <w:pStyle w:val="Compact"/>
              <w:jc w:val="left"/>
            </w:pPr>
            <w:r>
              <w:t xml:space="preserve">ComBat-seq</w:t>
            </w:r>
          </w:p>
        </w:tc>
        <w:tc>
          <w:tcPr/>
          <w:p>
            <w:pPr>
              <w:pStyle w:val="Compact"/>
              <w:jc w:val="left"/>
            </w:pPr>
            <w:r>
              <w:t xml:space="preserve">Fisher</w:t>
            </w:r>
          </w:p>
        </w:tc>
        <w:tc>
          <w:tcPr/>
          <w:p>
            <w:pPr>
              <w:pStyle w:val="Compact"/>
              <w:jc w:val="right"/>
            </w:pPr>
            <w:r>
              <w:t xml:space="preserve">2751</w:t>
            </w:r>
          </w:p>
        </w:tc>
        <w:tc>
          <w:tcPr/>
          <w:p>
            <w:pPr>
              <w:pStyle w:val="Compact"/>
              <w:jc w:val="left"/>
            </w:pPr>
            <w:r>
              <w:t xml:space="preserve">84.9</w:t>
            </w:r>
          </w:p>
        </w:tc>
        <w:tc>
          <w:tcPr/>
          <w:p>
            <w:pPr>
              <w:pStyle w:val="Compact"/>
              <w:jc w:val="left"/>
            </w:pPr>
            <w:r>
              <w:t xml:space="preserve">7.5</w:t>
            </w:r>
          </w:p>
        </w:tc>
        <w:tc>
          <w:tcPr/>
          <w:p>
            <w:pPr>
              <w:pStyle w:val="Compact"/>
              <w:jc w:val="left"/>
            </w:pPr>
            <w:r>
              <w:t xml:space="preserve">0.840</w:t>
            </w:r>
          </w:p>
        </w:tc>
      </w:tr>
      <w:tr>
        <w:tc>
          <w:tcPr/>
          <w:p>
            <w:pPr>
              <w:pStyle w:val="Compact"/>
              <w:jc w:val="right"/>
            </w:pPr>
            <w:r>
              <w:t xml:space="preserve">0.5</w:t>
            </w:r>
          </w:p>
        </w:tc>
        <w:tc>
          <w:tcPr/>
          <w:p>
            <w:pPr>
              <w:pStyle w:val="Compact"/>
              <w:jc w:val="left"/>
            </w:pPr>
            <w:r>
              <w:t xml:space="preserve">No batch effect (reference)</w:t>
            </w:r>
          </w:p>
        </w:tc>
        <w:tc>
          <w:tcPr/>
          <w:p>
            <w:pPr>
              <w:pStyle w:val="Compact"/>
              <w:jc w:val="left"/>
            </w:pPr>
            <w:r>
              <w:t xml:space="preserve">Inverse normal</w:t>
            </w:r>
          </w:p>
        </w:tc>
        <w:tc>
          <w:tcPr/>
          <w:p>
            <w:pPr>
              <w:pStyle w:val="Compact"/>
              <w:jc w:val="right"/>
            </w:pPr>
            <w:r>
              <w:t xml:space="preserve">2613</w:t>
            </w:r>
          </w:p>
        </w:tc>
        <w:tc>
          <w:tcPr/>
          <w:p>
            <w:pPr>
              <w:pStyle w:val="Compact"/>
              <w:jc w:val="left"/>
            </w:pPr>
            <w:r>
              <w:t xml:space="preserve">86.7</w:t>
            </w:r>
          </w:p>
        </w:tc>
        <w:tc>
          <w:tcPr/>
          <w:p>
            <w:pPr>
              <w:pStyle w:val="Compact"/>
              <w:jc w:val="left"/>
            </w:pPr>
            <w:r>
              <w:t xml:space="preserve">0.5</w:t>
            </w:r>
          </w:p>
        </w:tc>
        <w:tc>
          <w:tcPr/>
          <w:p>
            <w:pPr>
              <w:pStyle w:val="Compact"/>
              <w:jc w:val="left"/>
            </w:pPr>
            <w:r>
              <w:t xml:space="preserve">1.000</w:t>
            </w:r>
          </w:p>
        </w:tc>
      </w:tr>
      <w:tr>
        <w:tc>
          <w:tcPr/>
          <w:p>
            <w:pPr>
              <w:pStyle w:val="Compact"/>
              <w:jc w:val="right"/>
            </w:pPr>
            <w:r>
              <w:t xml:space="preserve">0.5</w:t>
            </w:r>
          </w:p>
        </w:tc>
        <w:tc>
          <w:tcPr/>
          <w:p>
            <w:pPr>
              <w:pStyle w:val="Compact"/>
              <w:jc w:val="left"/>
            </w:pPr>
            <w:r>
              <w:t xml:space="preserve">Batch ignored</w:t>
            </w:r>
          </w:p>
        </w:tc>
        <w:tc>
          <w:tcPr/>
          <w:p>
            <w:pPr>
              <w:pStyle w:val="Compact"/>
              <w:jc w:val="left"/>
            </w:pPr>
            <w:r>
              <w:t xml:space="preserve">Inverse normal</w:t>
            </w:r>
          </w:p>
        </w:tc>
        <w:tc>
          <w:tcPr/>
          <w:p>
            <w:pPr>
              <w:pStyle w:val="Compact"/>
              <w:jc w:val="right"/>
            </w:pPr>
            <w:r>
              <w:t xml:space="preserve">2516</w:t>
            </w:r>
          </w:p>
        </w:tc>
        <w:tc>
          <w:tcPr/>
          <w:p>
            <w:pPr>
              <w:pStyle w:val="Compact"/>
              <w:jc w:val="left"/>
            </w:pPr>
            <w:r>
              <w:t xml:space="preserve">83.5</w:t>
            </w:r>
          </w:p>
        </w:tc>
        <w:tc>
          <w:tcPr/>
          <w:p>
            <w:pPr>
              <w:pStyle w:val="Compact"/>
              <w:jc w:val="left"/>
            </w:pPr>
            <w:r>
              <w:t xml:space="preserve">0.4</w:t>
            </w:r>
          </w:p>
        </w:tc>
        <w:tc>
          <w:tcPr/>
          <w:p>
            <w:pPr>
              <w:pStyle w:val="Compact"/>
              <w:jc w:val="left"/>
            </w:pPr>
            <w:r>
              <w:t xml:space="preserve">0.933</w:t>
            </w:r>
          </w:p>
        </w:tc>
      </w:tr>
      <w:tr>
        <w:tc>
          <w:tcPr/>
          <w:p>
            <w:pPr>
              <w:pStyle w:val="Compact"/>
              <w:jc w:val="right"/>
            </w:pPr>
            <w:r>
              <w:t xml:space="preserve">0.5</w:t>
            </w:r>
          </w:p>
        </w:tc>
        <w:tc>
          <w:tcPr/>
          <w:p>
            <w:pPr>
              <w:pStyle w:val="Compact"/>
              <w:jc w:val="left"/>
            </w:pPr>
            <w:r>
              <w:t xml:space="preserve">Batch in the DE model</w:t>
            </w:r>
          </w:p>
        </w:tc>
        <w:tc>
          <w:tcPr/>
          <w:p>
            <w:pPr>
              <w:pStyle w:val="Compact"/>
              <w:jc w:val="left"/>
            </w:pPr>
            <w:r>
              <w:t xml:space="preserve">Inverse normal</w:t>
            </w:r>
          </w:p>
        </w:tc>
        <w:tc>
          <w:tcPr/>
          <w:p>
            <w:pPr>
              <w:pStyle w:val="Compact"/>
              <w:jc w:val="right"/>
            </w:pPr>
            <w:r>
              <w:t xml:space="preserve">2466</w:t>
            </w:r>
          </w:p>
        </w:tc>
        <w:tc>
          <w:tcPr/>
          <w:p>
            <w:pPr>
              <w:pStyle w:val="Compact"/>
              <w:jc w:val="left"/>
            </w:pPr>
            <w:r>
              <w:t xml:space="preserve">81.8</w:t>
            </w:r>
          </w:p>
        </w:tc>
        <w:tc>
          <w:tcPr/>
          <w:p>
            <w:pPr>
              <w:pStyle w:val="Compact"/>
              <w:jc w:val="left"/>
            </w:pPr>
            <w:r>
              <w:t xml:space="preserve">0.5</w:t>
            </w:r>
          </w:p>
        </w:tc>
        <w:tc>
          <w:tcPr/>
          <w:p>
            <w:pPr>
              <w:pStyle w:val="Compact"/>
              <w:jc w:val="left"/>
            </w:pPr>
            <w:r>
              <w:t xml:space="preserve">0.914</w:t>
            </w:r>
          </w:p>
        </w:tc>
      </w:tr>
      <w:tr>
        <w:tc>
          <w:tcPr/>
          <w:p>
            <w:pPr>
              <w:pStyle w:val="Compact"/>
              <w:jc w:val="right"/>
            </w:pPr>
            <w:r>
              <w:t xml:space="preserve">0.5</w:t>
            </w:r>
          </w:p>
        </w:tc>
        <w:tc>
          <w:tcPr/>
          <w:p>
            <w:pPr>
              <w:pStyle w:val="Compact"/>
              <w:jc w:val="left"/>
            </w:pPr>
            <w:r>
              <w:t xml:space="preserve">ComBat-seq</w:t>
            </w:r>
          </w:p>
        </w:tc>
        <w:tc>
          <w:tcPr/>
          <w:p>
            <w:pPr>
              <w:pStyle w:val="Compact"/>
              <w:jc w:val="left"/>
            </w:pPr>
            <w:r>
              <w:t xml:space="preserve">Inverse normal</w:t>
            </w:r>
          </w:p>
        </w:tc>
        <w:tc>
          <w:tcPr/>
          <w:p>
            <w:pPr>
              <w:pStyle w:val="Compact"/>
              <w:jc w:val="right"/>
            </w:pPr>
            <w:r>
              <w:t xml:space="preserve">2682</w:t>
            </w:r>
          </w:p>
        </w:tc>
        <w:tc>
          <w:tcPr/>
          <w:p>
            <w:pPr>
              <w:pStyle w:val="Compact"/>
              <w:jc w:val="left"/>
            </w:pPr>
            <w:r>
              <w:t xml:space="preserve">84.5</w:t>
            </w:r>
          </w:p>
        </w:tc>
        <w:tc>
          <w:tcPr/>
          <w:p>
            <w:pPr>
              <w:pStyle w:val="Compact"/>
              <w:jc w:val="left"/>
            </w:pPr>
            <w:r>
              <w:t xml:space="preserve">5.5</w:t>
            </w:r>
          </w:p>
        </w:tc>
        <w:tc>
          <w:tcPr/>
          <w:p>
            <w:pPr>
              <w:pStyle w:val="Compact"/>
              <w:jc w:val="left"/>
            </w:pPr>
            <w:r>
              <w:t xml:space="preserve">0.862</w:t>
            </w:r>
          </w:p>
        </w:tc>
      </w:tr>
      <w:tr>
        <w:tc>
          <w:tcPr/>
          <w:p>
            <w:pPr>
              <w:pStyle w:val="Compact"/>
              <w:jc w:val="right"/>
            </w:pPr>
            <w:r>
              <w:t xml:space="preserve">1.0</w:t>
            </w:r>
          </w:p>
        </w:tc>
        <w:tc>
          <w:tcPr/>
          <w:p>
            <w:pPr>
              <w:pStyle w:val="Compact"/>
              <w:jc w:val="left"/>
            </w:pPr>
            <w:r>
              <w:t xml:space="preserve">No batch effect (reference)</w:t>
            </w:r>
          </w:p>
        </w:tc>
        <w:tc>
          <w:tcPr/>
          <w:p>
            <w:pPr>
              <w:pStyle w:val="Compact"/>
              <w:jc w:val="left"/>
            </w:pPr>
            <w:r>
              <w:t xml:space="preserve">Fisher</w:t>
            </w:r>
          </w:p>
        </w:tc>
        <w:tc>
          <w:tcPr/>
          <w:p>
            <w:pPr>
              <w:pStyle w:val="Compact"/>
              <w:jc w:val="right"/>
            </w:pPr>
            <w:r>
              <w:t xml:space="preserve">2603</w:t>
            </w:r>
          </w:p>
        </w:tc>
        <w:tc>
          <w:tcPr/>
          <w:p>
            <w:pPr>
              <w:pStyle w:val="Compact"/>
              <w:jc w:val="left"/>
            </w:pPr>
            <w:r>
              <w:t xml:space="preserve">86.2</w:t>
            </w:r>
          </w:p>
        </w:tc>
        <w:tc>
          <w:tcPr/>
          <w:p>
            <w:pPr>
              <w:pStyle w:val="Compact"/>
              <w:jc w:val="left"/>
            </w:pPr>
            <w:r>
              <w:t xml:space="preserve">0.6</w:t>
            </w:r>
          </w:p>
        </w:tc>
        <w:tc>
          <w:tcPr/>
          <w:p>
            <w:pPr>
              <w:pStyle w:val="Compact"/>
              <w:jc w:val="left"/>
            </w:pPr>
            <w:r>
              <w:t xml:space="preserve">1.000</w:t>
            </w:r>
          </w:p>
        </w:tc>
      </w:tr>
      <w:tr>
        <w:tc>
          <w:tcPr/>
          <w:p>
            <w:pPr>
              <w:pStyle w:val="Compact"/>
              <w:jc w:val="right"/>
            </w:pPr>
            <w:r>
              <w:t xml:space="preserve">1.0</w:t>
            </w:r>
          </w:p>
        </w:tc>
        <w:tc>
          <w:tcPr/>
          <w:p>
            <w:pPr>
              <w:pStyle w:val="Compact"/>
              <w:jc w:val="left"/>
            </w:pPr>
            <w:r>
              <w:t xml:space="preserve">Batch ignored</w:t>
            </w:r>
          </w:p>
        </w:tc>
        <w:tc>
          <w:tcPr/>
          <w:p>
            <w:pPr>
              <w:pStyle w:val="Compact"/>
              <w:jc w:val="left"/>
            </w:pPr>
            <w:r>
              <w:t xml:space="preserve">Fisher</w:t>
            </w:r>
          </w:p>
        </w:tc>
        <w:tc>
          <w:tcPr/>
          <w:p>
            <w:pPr>
              <w:pStyle w:val="Compact"/>
              <w:jc w:val="right"/>
            </w:pPr>
            <w:r>
              <w:t xml:space="preserve">2063</w:t>
            </w:r>
          </w:p>
        </w:tc>
        <w:tc>
          <w:tcPr/>
          <w:p>
            <w:pPr>
              <w:pStyle w:val="Compact"/>
              <w:jc w:val="left"/>
            </w:pPr>
            <w:r>
              <w:t xml:space="preserve">68.6</w:t>
            </w:r>
          </w:p>
        </w:tc>
        <w:tc>
          <w:tcPr/>
          <w:p>
            <w:pPr>
              <w:pStyle w:val="Compact"/>
              <w:jc w:val="left"/>
            </w:pPr>
            <w:r>
              <w:t xml:space="preserve">0.2</w:t>
            </w:r>
          </w:p>
        </w:tc>
        <w:tc>
          <w:tcPr/>
          <w:p>
            <w:pPr>
              <w:pStyle w:val="Compact"/>
              <w:jc w:val="left"/>
            </w:pPr>
            <w:r>
              <w:t xml:space="preserve">0.762</w:t>
            </w:r>
          </w:p>
        </w:tc>
      </w:tr>
      <w:tr>
        <w:tc>
          <w:tcPr/>
          <w:p>
            <w:pPr>
              <w:pStyle w:val="Compact"/>
              <w:jc w:val="right"/>
            </w:pPr>
            <w:r>
              <w:t xml:space="preserve">1.0</w:t>
            </w:r>
          </w:p>
        </w:tc>
        <w:tc>
          <w:tcPr/>
          <w:p>
            <w:pPr>
              <w:pStyle w:val="Compact"/>
              <w:jc w:val="left"/>
            </w:pPr>
            <w:r>
              <w:t xml:space="preserve">Batch in the DE model</w:t>
            </w:r>
          </w:p>
        </w:tc>
        <w:tc>
          <w:tcPr/>
          <w:p>
            <w:pPr>
              <w:pStyle w:val="Compact"/>
              <w:jc w:val="left"/>
            </w:pPr>
            <w:r>
              <w:t xml:space="preserve">Fisher</w:t>
            </w:r>
          </w:p>
        </w:tc>
        <w:tc>
          <w:tcPr/>
          <w:p>
            <w:pPr>
              <w:pStyle w:val="Compact"/>
              <w:jc w:val="right"/>
            </w:pPr>
            <w:r>
              <w:t xml:space="preserve">2493</w:t>
            </w:r>
          </w:p>
        </w:tc>
        <w:tc>
          <w:tcPr/>
          <w:p>
            <w:pPr>
              <w:pStyle w:val="Compact"/>
              <w:jc w:val="left"/>
            </w:pPr>
            <w:r>
              <w:t xml:space="preserve">82.5</w:t>
            </w:r>
          </w:p>
        </w:tc>
        <w:tc>
          <w:tcPr/>
          <w:p>
            <w:pPr>
              <w:pStyle w:val="Compact"/>
              <w:jc w:val="left"/>
            </w:pPr>
            <w:r>
              <w:t xml:space="preserve">0.8</w:t>
            </w:r>
          </w:p>
        </w:tc>
        <w:tc>
          <w:tcPr/>
          <w:p>
            <w:pPr>
              <w:pStyle w:val="Compact"/>
              <w:jc w:val="left"/>
            </w:pPr>
            <w:r>
              <w:t xml:space="preserve">0.917</w:t>
            </w:r>
          </w:p>
        </w:tc>
      </w:tr>
      <w:tr>
        <w:tc>
          <w:tcPr/>
          <w:p>
            <w:pPr>
              <w:pStyle w:val="Compact"/>
              <w:jc w:val="right"/>
            </w:pPr>
            <w:r>
              <w:t xml:space="preserve">1.0</w:t>
            </w:r>
          </w:p>
        </w:tc>
        <w:tc>
          <w:tcPr/>
          <w:p>
            <w:pPr>
              <w:pStyle w:val="Compact"/>
              <w:jc w:val="left"/>
            </w:pPr>
            <w:r>
              <w:t xml:space="preserve">ComBat-seq</w:t>
            </w:r>
          </w:p>
        </w:tc>
        <w:tc>
          <w:tcPr/>
          <w:p>
            <w:pPr>
              <w:pStyle w:val="Compact"/>
              <w:jc w:val="left"/>
            </w:pPr>
            <w:r>
              <w:t xml:space="preserve">Fisher</w:t>
            </w:r>
          </w:p>
        </w:tc>
        <w:tc>
          <w:tcPr/>
          <w:p>
            <w:pPr>
              <w:pStyle w:val="Compact"/>
              <w:jc w:val="right"/>
            </w:pPr>
            <w:r>
              <w:t xml:space="preserve">2747</w:t>
            </w:r>
          </w:p>
        </w:tc>
        <w:tc>
          <w:tcPr/>
          <w:p>
            <w:pPr>
              <w:pStyle w:val="Compact"/>
              <w:jc w:val="left"/>
            </w:pPr>
            <w:r>
              <w:t xml:space="preserve">84.7</w:t>
            </w:r>
          </w:p>
        </w:tc>
        <w:tc>
          <w:tcPr/>
          <w:p>
            <w:pPr>
              <w:pStyle w:val="Compact"/>
              <w:jc w:val="left"/>
            </w:pPr>
            <w:r>
              <w:t xml:space="preserve">7.5</w:t>
            </w:r>
          </w:p>
        </w:tc>
        <w:tc>
          <w:tcPr/>
          <w:p>
            <w:pPr>
              <w:pStyle w:val="Compact"/>
              <w:jc w:val="left"/>
            </w:pPr>
            <w:r>
              <w:t xml:space="preserve">0.840</w:t>
            </w:r>
          </w:p>
        </w:tc>
      </w:tr>
      <w:tr>
        <w:tc>
          <w:tcPr/>
          <w:p>
            <w:pPr>
              <w:pStyle w:val="Compact"/>
              <w:jc w:val="right"/>
            </w:pPr>
            <w:r>
              <w:t xml:space="preserve">1.0</w:t>
            </w:r>
          </w:p>
        </w:tc>
        <w:tc>
          <w:tcPr/>
          <w:p>
            <w:pPr>
              <w:pStyle w:val="Compact"/>
              <w:jc w:val="left"/>
            </w:pPr>
            <w:r>
              <w:t xml:space="preserve">No batch effect (reference)</w:t>
            </w:r>
          </w:p>
        </w:tc>
        <w:tc>
          <w:tcPr/>
          <w:p>
            <w:pPr>
              <w:pStyle w:val="Compact"/>
              <w:jc w:val="left"/>
            </w:pPr>
            <w:r>
              <w:t xml:space="preserve">Inverse normal</w:t>
            </w:r>
          </w:p>
        </w:tc>
        <w:tc>
          <w:tcPr/>
          <w:p>
            <w:pPr>
              <w:pStyle w:val="Compact"/>
              <w:jc w:val="right"/>
            </w:pPr>
            <w:r>
              <w:t xml:space="preserve">2613</w:t>
            </w:r>
          </w:p>
        </w:tc>
        <w:tc>
          <w:tcPr/>
          <w:p>
            <w:pPr>
              <w:pStyle w:val="Compact"/>
              <w:jc w:val="left"/>
            </w:pPr>
            <w:r>
              <w:t xml:space="preserve">86.7</w:t>
            </w:r>
          </w:p>
        </w:tc>
        <w:tc>
          <w:tcPr/>
          <w:p>
            <w:pPr>
              <w:pStyle w:val="Compact"/>
              <w:jc w:val="left"/>
            </w:pPr>
            <w:r>
              <w:t xml:space="preserve">0.5</w:t>
            </w:r>
          </w:p>
        </w:tc>
        <w:tc>
          <w:tcPr/>
          <w:p>
            <w:pPr>
              <w:pStyle w:val="Compact"/>
              <w:jc w:val="left"/>
            </w:pPr>
            <w:r>
              <w:t xml:space="preserve">1.000</w:t>
            </w:r>
          </w:p>
        </w:tc>
      </w:tr>
      <w:tr>
        <w:tc>
          <w:tcPr/>
          <w:p>
            <w:pPr>
              <w:pStyle w:val="Compact"/>
              <w:jc w:val="right"/>
            </w:pPr>
            <w:r>
              <w:t xml:space="preserve">1.0</w:t>
            </w:r>
          </w:p>
        </w:tc>
        <w:tc>
          <w:tcPr/>
          <w:p>
            <w:pPr>
              <w:pStyle w:val="Compact"/>
              <w:jc w:val="left"/>
            </w:pPr>
            <w:r>
              <w:t xml:space="preserve">Batch ignored</w:t>
            </w:r>
          </w:p>
        </w:tc>
        <w:tc>
          <w:tcPr/>
          <w:p>
            <w:pPr>
              <w:pStyle w:val="Compact"/>
              <w:jc w:val="left"/>
            </w:pPr>
            <w:r>
              <w:t xml:space="preserve">Inverse normal</w:t>
            </w:r>
          </w:p>
        </w:tc>
        <w:tc>
          <w:tcPr/>
          <w:p>
            <w:pPr>
              <w:pStyle w:val="Compact"/>
              <w:jc w:val="right"/>
            </w:pPr>
            <w:r>
              <w:t xml:space="preserve">2095</w:t>
            </w:r>
          </w:p>
        </w:tc>
        <w:tc>
          <w:tcPr/>
          <w:p>
            <w:pPr>
              <w:pStyle w:val="Compact"/>
              <w:jc w:val="left"/>
            </w:pPr>
            <w:r>
              <w:t xml:space="preserve">69.7</w:t>
            </w:r>
          </w:p>
        </w:tc>
        <w:tc>
          <w:tcPr/>
          <w:p>
            <w:pPr>
              <w:pStyle w:val="Compact"/>
              <w:jc w:val="left"/>
            </w:pPr>
            <w:r>
              <w:t xml:space="preserve">0.1</w:t>
            </w:r>
          </w:p>
        </w:tc>
        <w:tc>
          <w:tcPr/>
          <w:p>
            <w:pPr>
              <w:pStyle w:val="Compact"/>
              <w:jc w:val="left"/>
            </w:pPr>
            <w:r>
              <w:t xml:space="preserve">0.777</w:t>
            </w:r>
          </w:p>
        </w:tc>
      </w:tr>
      <w:tr>
        <w:tc>
          <w:tcPr/>
          <w:p>
            <w:pPr>
              <w:pStyle w:val="Compact"/>
              <w:jc w:val="right"/>
            </w:pPr>
            <w:r>
              <w:t xml:space="preserve">1.0</w:t>
            </w:r>
          </w:p>
        </w:tc>
        <w:tc>
          <w:tcPr/>
          <w:p>
            <w:pPr>
              <w:pStyle w:val="Compact"/>
              <w:jc w:val="left"/>
            </w:pPr>
            <w:r>
              <w:t xml:space="preserve">Batch in the DE model</w:t>
            </w:r>
          </w:p>
        </w:tc>
        <w:tc>
          <w:tcPr/>
          <w:p>
            <w:pPr>
              <w:pStyle w:val="Compact"/>
              <w:jc w:val="left"/>
            </w:pPr>
            <w:r>
              <w:t xml:space="preserve">Inverse normal</w:t>
            </w:r>
          </w:p>
        </w:tc>
        <w:tc>
          <w:tcPr/>
          <w:p>
            <w:pPr>
              <w:pStyle w:val="Compact"/>
              <w:jc w:val="right"/>
            </w:pPr>
            <w:r>
              <w:t xml:space="preserve">2489</w:t>
            </w:r>
          </w:p>
        </w:tc>
        <w:tc>
          <w:tcPr/>
          <w:p>
            <w:pPr>
              <w:pStyle w:val="Compact"/>
              <w:jc w:val="left"/>
            </w:pPr>
            <w:r>
              <w:t xml:space="preserve">82.4</w:t>
            </w:r>
          </w:p>
        </w:tc>
        <w:tc>
          <w:tcPr/>
          <w:p>
            <w:pPr>
              <w:pStyle w:val="Compact"/>
              <w:jc w:val="left"/>
            </w:pPr>
            <w:r>
              <w:t xml:space="preserve">0.6</w:t>
            </w:r>
          </w:p>
        </w:tc>
        <w:tc>
          <w:tcPr/>
          <w:p>
            <w:pPr>
              <w:pStyle w:val="Compact"/>
              <w:jc w:val="left"/>
            </w:pPr>
            <w:r>
              <w:t xml:space="preserve">0.918</w:t>
            </w:r>
          </w:p>
        </w:tc>
      </w:tr>
      <w:tr>
        <w:tc>
          <w:tcPr/>
          <w:p>
            <w:pPr>
              <w:pStyle w:val="Compact"/>
              <w:jc w:val="right"/>
            </w:pPr>
            <w:r>
              <w:t xml:space="preserve">1.0</w:t>
            </w:r>
          </w:p>
        </w:tc>
        <w:tc>
          <w:tcPr/>
          <w:p>
            <w:pPr>
              <w:pStyle w:val="Compact"/>
              <w:jc w:val="left"/>
            </w:pPr>
            <w:r>
              <w:t xml:space="preserve">ComBat-seq</w:t>
            </w:r>
          </w:p>
        </w:tc>
        <w:tc>
          <w:tcPr/>
          <w:p>
            <w:pPr>
              <w:pStyle w:val="Compact"/>
              <w:jc w:val="left"/>
            </w:pPr>
            <w:r>
              <w:t xml:space="preserve">Inverse normal</w:t>
            </w:r>
          </w:p>
        </w:tc>
        <w:tc>
          <w:tcPr/>
          <w:p>
            <w:pPr>
              <w:pStyle w:val="Compact"/>
              <w:jc w:val="right"/>
            </w:pPr>
            <w:r>
              <w:t xml:space="preserve">2683</w:t>
            </w:r>
          </w:p>
        </w:tc>
        <w:tc>
          <w:tcPr/>
          <w:p>
            <w:pPr>
              <w:pStyle w:val="Compact"/>
              <w:jc w:val="left"/>
            </w:pPr>
            <w:r>
              <w:t xml:space="preserve">84.6</w:t>
            </w:r>
          </w:p>
        </w:tc>
        <w:tc>
          <w:tcPr/>
          <w:p>
            <w:pPr>
              <w:pStyle w:val="Compact"/>
              <w:jc w:val="left"/>
            </w:pPr>
            <w:r>
              <w:t xml:space="preserve">5.4</w:t>
            </w:r>
          </w:p>
        </w:tc>
        <w:tc>
          <w:tcPr/>
          <w:p>
            <w:pPr>
              <w:pStyle w:val="Compact"/>
              <w:jc w:val="left"/>
            </w:pPr>
            <w:r>
              <w:t xml:space="preserve">0.860</w:t>
            </w:r>
          </w:p>
        </w:tc>
      </w:tr>
    </w:tbl>
    <w:p>
      <w:pPr>
        <w:pStyle w:val="CaptionedFigure"/>
      </w:pPr>
      <w:r>
        <w:drawing>
          <wp:inline>
            <wp:extent cx="5334000" cy="6437138"/>
            <wp:effectExtent b="0" l="0" r="0" t="0"/>
            <wp:docPr descr="Figure S1 (Figure 3 of the manuscript). Batch-effect case study (sdlog 0.5). (a) PCA of two of the six studies before and after ComBat-seq correction, coloured by batch. (b) Relative log expression of the same samples before and after the correction. (c) TPR and FDP of the meta-analysis DEGs (DESeq2 + Fisher) for the four strategies, with sdlog 0.5 and 1." title="" id="21" name="Picture"/>
            <a:graphic>
              <a:graphicData uri="http://schemas.openxmlformats.org/drawingml/2006/picture">
                <pic:pic>
                  <pic:nvPicPr>
                    <pic:cNvPr descr="output/figures/fig3_batch.png" id="22" name="Picture"/>
                    <pic:cNvPicPr>
                      <a:picLocks noChangeArrowheads="1" noChangeAspect="1"/>
                    </pic:cNvPicPr>
                  </pic:nvPicPr>
                  <pic:blipFill>
                    <a:blip r:embed="rId20"/>
                    <a:stretch>
                      <a:fillRect/>
                    </a:stretch>
                  </pic:blipFill>
                  <pic:spPr bwMode="auto">
                    <a:xfrm>
                      <a:off x="0" y="0"/>
                      <a:ext cx="5334000" cy="6437138"/>
                    </a:xfrm>
                    <a:prstGeom prst="rect">
                      <a:avLst/>
                    </a:prstGeom>
                    <a:noFill/>
                    <a:ln w="9525">
                      <a:noFill/>
                      <a:headEnd/>
                      <a:tailEnd/>
                    </a:ln>
                  </pic:spPr>
                </pic:pic>
              </a:graphicData>
            </a:graphic>
          </wp:inline>
        </w:drawing>
      </w:r>
    </w:p>
    <w:p>
      <w:pPr>
        <w:pStyle w:val="ImageCaption"/>
      </w:pPr>
      <w:r>
        <w:t xml:space="preserve">Figure S1 (Figure 3 of the manuscript). Batch-effect case study (sdlog 0.5). (a) PCA of two of the six studies before and after ComBat-seq correction, coloured by batch. (b) Relative log expression of the same samples before and after the correction. (c) TPR and FDP of the meta-analysis DEGs (DESeq2 + Fisher) for the four strategies, with sdlog 0.5 and 1.</w:t>
      </w:r>
    </w:p>
    <w:p>
      <w:pPr>
        <w:pStyle w:val="BodyText"/>
      </w:pPr>
      <w:r>
        <w:rPr>
          <w:bCs/>
          <w:b/>
        </w:rPr>
        <w:t xml:space="preserve">Between-study differences.</w:t>
      </w:r>
      <w:r>
        <w:t xml:space="preserve"> </w:t>
      </w:r>
      <w:r>
        <w:t xml:space="preserve">Differences between studies (for example in sequencing depth, library preparation or baseline expression) do not need a correction, because every study is analysed separately and only its p-values enter the meta-analysis. To show this, the same simulation was drawn twice from the same random numbers, with and without the gene-wise baseline shift of each study. The per-study p-values were almost unchanged (Spearman correlation 0.996–0.996; median absolute difference in log10 p 0.015; 99.3–99.4% of the genes with the same call at adjusted p &lt; 0.05), and the meta-analysis found 2599 and 2606 DEGs (Jaccard index 0.970). The small remaining differences come from the counts themselves, which change with the expected values.</w:t>
      </w:r>
    </w:p>
    <w:bookmarkEnd w:id="23"/>
    <w:bookmarkStart w:id="24" w:name="s2.-rna-seq-demo-case-study"/>
    <w:p>
      <w:pPr>
        <w:pStyle w:val="Heading1"/>
      </w:pPr>
      <w:r>
        <w:t xml:space="preserve">S2. RNA-Seq demo case study</w:t>
      </w:r>
    </w:p>
    <w:p>
      <w:pPr>
        <w:pStyle w:val="FirstParagraph"/>
      </w:pPr>
      <w:r>
        <w:t xml:space="preserve">The bundled RNA-Seq demo (three studies of</w:t>
      </w:r>
      <w:r>
        <w:t xml:space="preserve"> </w:t>
      </w:r>
      <w:r>
        <w:rPr>
          <w:iCs/>
          <w:i/>
        </w:rPr>
        <w:t xml:space="preserve">Synechocystis</w:t>
      </w:r>
      <w:r>
        <w:t xml:space="preserve"> </w:t>
      </w:r>
      <w:r>
        <w:t xml:space="preserve">sp., 2 control vs 2 treated samples each, 3405 genes after filtering) was analysed with each DE method and both meta-analysis methods (Table S3). With DESeq2 and Fisher’s method, the meta-analysis found 373 DEGs, of which 1 were new (not significant in any single study) and 27 study DEGs were side-tracked (significant in a study but not in the meta-analysis). 84.5% of the DESeq2 meta-DEGs (315 of 373) were also found with both edgeR and limma-voom (Table S4).</w:t>
      </w:r>
    </w:p>
    <w:p>
      <w:pPr>
        <w:pStyle w:val="TableCaption"/>
      </w:pPr>
      <w:r>
        <w:t xml:space="preserve">Table S3. RNA-Seq demo: meta-analysis DEGs with each DE and meta-analysis method. New: meta-DEGs not significant in any study; side-tracked: study DEGs not found by the meta-analysis (metaRNASeq IDD/IRR).</w:t>
      </w:r>
    </w:p>
    <w:tbl>
      <w:tblPr>
        <w:tblStyle w:val="Table"/>
        <w:tblW w:type="pct" w:w="5000"/>
        <w:tblLook w:firstRow="1" w:lastRow="0" w:firstColumn="0" w:lastColumn="0" w:noHBand="0" w:noVBand="0" w:val="0020"/>
        <w:jc w:val="start"/>
        <w:tblCaption w:val="Table S3. RNA-Seq demo: meta-analysis DEGs with each DE and meta-analysis method. New: meta-DEGs not significant in any study; side-tracked: study DEGs not found by the meta-analysis (metaRNASeq IDD/IRR)."/>
      </w:tblPr>
      <w:tblGrid>
        <w:gridCol w:w="1013"/>
        <w:gridCol w:w="1381"/>
        <w:gridCol w:w="920"/>
        <w:gridCol w:w="920"/>
        <w:gridCol w:w="1565"/>
        <w:gridCol w:w="2118"/>
      </w:tblGrid>
      <w:tr>
        <w:trPr>
          <w:tblHeader w:val="true"/>
        </w:trPr>
        <w:tc>
          <w:tcPr/>
          <w:p>
            <w:pPr>
              <w:pStyle w:val="Compact"/>
              <w:jc w:val="left"/>
            </w:pPr>
            <w:r>
              <w:t xml:space="preserve">DE method</w:t>
            </w:r>
          </w:p>
        </w:tc>
        <w:tc>
          <w:tcPr/>
          <w:p>
            <w:pPr>
              <w:pStyle w:val="Compact"/>
              <w:jc w:val="left"/>
            </w:pPr>
            <w:r>
              <w:t xml:space="preserve">Meta-analysis</w:t>
            </w:r>
          </w:p>
        </w:tc>
        <w:tc>
          <w:tcPr/>
          <w:p>
            <w:pPr>
              <w:pStyle w:val="Compact"/>
              <w:jc w:val="right"/>
            </w:pPr>
            <w:r>
              <w:t xml:space="preserve">Meta-DEGs</w:t>
            </w:r>
          </w:p>
        </w:tc>
        <w:tc>
          <w:tcPr/>
          <w:p>
            <w:pPr>
              <w:pStyle w:val="Compact"/>
              <w:jc w:val="left"/>
            </w:pPr>
            <w:r>
              <w:t xml:space="preserve">New (%)</w:t>
            </w:r>
          </w:p>
        </w:tc>
        <w:tc>
          <w:tcPr/>
          <w:p>
            <w:pPr>
              <w:pStyle w:val="Compact"/>
              <w:jc w:val="left"/>
            </w:pPr>
            <w:r>
              <w:t xml:space="preserve">Side-tracked (%)</w:t>
            </w:r>
          </w:p>
        </w:tc>
        <w:tc>
          <w:tcPr/>
          <w:p>
            <w:pPr>
              <w:pStyle w:val="Compact"/>
              <w:jc w:val="left"/>
            </w:pPr>
            <w:r>
              <w:t xml:space="preserve">Study DEGs (A / B / C)</w:t>
            </w:r>
          </w:p>
        </w:tc>
      </w:tr>
      <w:tr>
        <w:tc>
          <w:tcPr/>
          <w:p>
            <w:pPr>
              <w:pStyle w:val="Compact"/>
              <w:jc w:val="left"/>
            </w:pPr>
            <w:r>
              <w:t xml:space="preserve">DESeq2</w:t>
            </w:r>
          </w:p>
        </w:tc>
        <w:tc>
          <w:tcPr/>
          <w:p>
            <w:pPr>
              <w:pStyle w:val="Compact"/>
              <w:jc w:val="left"/>
            </w:pPr>
            <w:r>
              <w:t xml:space="preserve">Fisher</w:t>
            </w:r>
          </w:p>
        </w:tc>
        <w:tc>
          <w:tcPr/>
          <w:p>
            <w:pPr>
              <w:pStyle w:val="Compact"/>
              <w:jc w:val="right"/>
            </w:pPr>
            <w:r>
              <w:t xml:space="preserve">373</w:t>
            </w:r>
          </w:p>
        </w:tc>
        <w:tc>
          <w:tcPr/>
          <w:p>
            <w:pPr>
              <w:pStyle w:val="Compact"/>
              <w:jc w:val="left"/>
            </w:pPr>
            <w:r>
              <w:t xml:space="preserve">1 (0.27)</w:t>
            </w:r>
          </w:p>
        </w:tc>
        <w:tc>
          <w:tcPr/>
          <w:p>
            <w:pPr>
              <w:pStyle w:val="Compact"/>
              <w:jc w:val="left"/>
            </w:pPr>
            <w:r>
              <w:t xml:space="preserve">27 (6.77)</w:t>
            </w:r>
          </w:p>
        </w:tc>
        <w:tc>
          <w:tcPr/>
          <w:p>
            <w:pPr>
              <w:pStyle w:val="Compact"/>
              <w:jc w:val="left"/>
            </w:pPr>
            <w:r>
              <w:t xml:space="preserve">377 / 73 / 59</w:t>
            </w:r>
          </w:p>
        </w:tc>
      </w:tr>
      <w:tr>
        <w:tc>
          <w:tcPr/>
          <w:p>
            <w:pPr>
              <w:pStyle w:val="Compact"/>
              <w:jc w:val="left"/>
            </w:pPr>
            <w:r>
              <w:t xml:space="preserve">DESeq2</w:t>
            </w:r>
          </w:p>
        </w:tc>
        <w:tc>
          <w:tcPr/>
          <w:p>
            <w:pPr>
              <w:pStyle w:val="Compact"/>
              <w:jc w:val="left"/>
            </w:pPr>
            <w:r>
              <w:t xml:space="preserve">Inverse normal</w:t>
            </w:r>
          </w:p>
        </w:tc>
        <w:tc>
          <w:tcPr/>
          <w:p>
            <w:pPr>
              <w:pStyle w:val="Compact"/>
              <w:jc w:val="right"/>
            </w:pPr>
            <w:r>
              <w:t xml:space="preserve">328</w:t>
            </w:r>
          </w:p>
        </w:tc>
        <w:tc>
          <w:tcPr/>
          <w:p>
            <w:pPr>
              <w:pStyle w:val="Compact"/>
              <w:jc w:val="left"/>
            </w:pPr>
            <w:r>
              <w:t xml:space="preserve">6 (1.83)</w:t>
            </w:r>
          </w:p>
        </w:tc>
        <w:tc>
          <w:tcPr/>
          <w:p>
            <w:pPr>
              <w:pStyle w:val="Compact"/>
              <w:jc w:val="left"/>
            </w:pPr>
            <w:r>
              <w:t xml:space="preserve">77 (19.3)</w:t>
            </w:r>
          </w:p>
        </w:tc>
        <w:tc>
          <w:tcPr/>
          <w:p>
            <w:pPr>
              <w:pStyle w:val="Compact"/>
              <w:jc w:val="left"/>
            </w:pPr>
            <w:r>
              <w:t xml:space="preserve">377 / 73 / 59</w:t>
            </w:r>
          </w:p>
        </w:tc>
      </w:tr>
      <w:tr>
        <w:tc>
          <w:tcPr/>
          <w:p>
            <w:pPr>
              <w:pStyle w:val="Compact"/>
              <w:jc w:val="left"/>
            </w:pPr>
            <w:r>
              <w:t xml:space="preserve">edgeR</w:t>
            </w:r>
          </w:p>
        </w:tc>
        <w:tc>
          <w:tcPr/>
          <w:p>
            <w:pPr>
              <w:pStyle w:val="Compact"/>
              <w:jc w:val="left"/>
            </w:pPr>
            <w:r>
              <w:t xml:space="preserve">Fisher</w:t>
            </w:r>
          </w:p>
        </w:tc>
        <w:tc>
          <w:tcPr/>
          <w:p>
            <w:pPr>
              <w:pStyle w:val="Compact"/>
              <w:jc w:val="right"/>
            </w:pPr>
            <w:r>
              <w:t xml:space="preserve">376</w:t>
            </w:r>
          </w:p>
        </w:tc>
        <w:tc>
          <w:tcPr/>
          <w:p>
            <w:pPr>
              <w:pStyle w:val="Compact"/>
              <w:jc w:val="left"/>
            </w:pPr>
            <w:r>
              <w:t xml:space="preserve">27 (7.18)</w:t>
            </w:r>
          </w:p>
        </w:tc>
        <w:tc>
          <w:tcPr/>
          <w:p>
            <w:pPr>
              <w:pStyle w:val="Compact"/>
              <w:jc w:val="left"/>
            </w:pPr>
            <w:r>
              <w:t xml:space="preserve">80 (18.65)</w:t>
            </w:r>
          </w:p>
        </w:tc>
        <w:tc>
          <w:tcPr/>
          <w:p>
            <w:pPr>
              <w:pStyle w:val="Compact"/>
              <w:jc w:val="left"/>
            </w:pPr>
            <w:r>
              <w:t xml:space="preserve">399 / 6 / 120</w:t>
            </w:r>
          </w:p>
        </w:tc>
      </w:tr>
      <w:tr>
        <w:tc>
          <w:tcPr/>
          <w:p>
            <w:pPr>
              <w:pStyle w:val="Compact"/>
              <w:jc w:val="left"/>
            </w:pPr>
            <w:r>
              <w:t xml:space="preserve">edgeR</w:t>
            </w:r>
          </w:p>
        </w:tc>
        <w:tc>
          <w:tcPr/>
          <w:p>
            <w:pPr>
              <w:pStyle w:val="Compact"/>
              <w:jc w:val="left"/>
            </w:pPr>
            <w:r>
              <w:t xml:space="preserve">Inverse normal</w:t>
            </w:r>
          </w:p>
        </w:tc>
        <w:tc>
          <w:tcPr/>
          <w:p>
            <w:pPr>
              <w:pStyle w:val="Compact"/>
              <w:jc w:val="right"/>
            </w:pPr>
            <w:r>
              <w:t xml:space="preserve">312</w:t>
            </w:r>
          </w:p>
        </w:tc>
        <w:tc>
          <w:tcPr/>
          <w:p>
            <w:pPr>
              <w:pStyle w:val="Compact"/>
              <w:jc w:val="left"/>
            </w:pPr>
            <w:r>
              <w:t xml:space="preserve">27 (8.65)</w:t>
            </w:r>
          </w:p>
        </w:tc>
        <w:tc>
          <w:tcPr/>
          <w:p>
            <w:pPr>
              <w:pStyle w:val="Compact"/>
              <w:jc w:val="left"/>
            </w:pPr>
            <w:r>
              <w:t xml:space="preserve">144 (33.57)</w:t>
            </w:r>
          </w:p>
        </w:tc>
        <w:tc>
          <w:tcPr/>
          <w:p>
            <w:pPr>
              <w:pStyle w:val="Compact"/>
              <w:jc w:val="left"/>
            </w:pPr>
            <w:r>
              <w:t xml:space="preserve">399 / 6 / 120</w:t>
            </w:r>
          </w:p>
        </w:tc>
      </w:tr>
      <w:tr>
        <w:tc>
          <w:tcPr/>
          <w:p>
            <w:pPr>
              <w:pStyle w:val="Compact"/>
              <w:jc w:val="left"/>
            </w:pPr>
            <w:r>
              <w:t xml:space="preserve">limma-voom</w:t>
            </w:r>
          </w:p>
        </w:tc>
        <w:tc>
          <w:tcPr/>
          <w:p>
            <w:pPr>
              <w:pStyle w:val="Compact"/>
              <w:jc w:val="left"/>
            </w:pPr>
            <w:r>
              <w:t xml:space="preserve">Fisher</w:t>
            </w:r>
          </w:p>
        </w:tc>
        <w:tc>
          <w:tcPr/>
          <w:p>
            <w:pPr>
              <w:pStyle w:val="Compact"/>
              <w:jc w:val="right"/>
            </w:pPr>
            <w:r>
              <w:t xml:space="preserve">369</w:t>
            </w:r>
          </w:p>
        </w:tc>
        <w:tc>
          <w:tcPr/>
          <w:p>
            <w:pPr>
              <w:pStyle w:val="Compact"/>
              <w:jc w:val="left"/>
            </w:pPr>
            <w:r>
              <w:t xml:space="preserve">29 (7.86)</w:t>
            </w:r>
          </w:p>
        </w:tc>
        <w:tc>
          <w:tcPr/>
          <w:p>
            <w:pPr>
              <w:pStyle w:val="Compact"/>
              <w:jc w:val="left"/>
            </w:pPr>
            <w:r>
              <w:t xml:space="preserve">83 (19.62)</w:t>
            </w:r>
          </w:p>
        </w:tc>
        <w:tc>
          <w:tcPr/>
          <w:p>
            <w:pPr>
              <w:pStyle w:val="Compact"/>
              <w:jc w:val="left"/>
            </w:pPr>
            <w:r>
              <w:t xml:space="preserve">404 / 8 / 85</w:t>
            </w:r>
          </w:p>
        </w:tc>
      </w:tr>
      <w:tr>
        <w:tc>
          <w:tcPr/>
          <w:p>
            <w:pPr>
              <w:pStyle w:val="Compact"/>
              <w:jc w:val="left"/>
            </w:pPr>
            <w:r>
              <w:t xml:space="preserve">limma-voom</w:t>
            </w:r>
          </w:p>
        </w:tc>
        <w:tc>
          <w:tcPr/>
          <w:p>
            <w:pPr>
              <w:pStyle w:val="Compact"/>
              <w:jc w:val="left"/>
            </w:pPr>
            <w:r>
              <w:t xml:space="preserve">Inverse normal</w:t>
            </w:r>
          </w:p>
        </w:tc>
        <w:tc>
          <w:tcPr/>
          <w:p>
            <w:pPr>
              <w:pStyle w:val="Compact"/>
              <w:jc w:val="right"/>
            </w:pPr>
            <w:r>
              <w:t xml:space="preserve">303</w:t>
            </w:r>
          </w:p>
        </w:tc>
        <w:tc>
          <w:tcPr/>
          <w:p>
            <w:pPr>
              <w:pStyle w:val="Compact"/>
              <w:jc w:val="left"/>
            </w:pPr>
            <w:r>
              <w:t xml:space="preserve">29 (9.57)</w:t>
            </w:r>
          </w:p>
        </w:tc>
        <w:tc>
          <w:tcPr/>
          <w:p>
            <w:pPr>
              <w:pStyle w:val="Compact"/>
              <w:jc w:val="left"/>
            </w:pPr>
            <w:r>
              <w:t xml:space="preserve">149 (35.22)</w:t>
            </w:r>
          </w:p>
        </w:tc>
        <w:tc>
          <w:tcPr/>
          <w:p>
            <w:pPr>
              <w:pStyle w:val="Compact"/>
              <w:jc w:val="left"/>
            </w:pPr>
            <w:r>
              <w:t xml:space="preserve">404 / 8 / 85</w:t>
            </w:r>
          </w:p>
        </w:tc>
      </w:tr>
    </w:tbl>
    <w:p/>
    <w:p>
      <w:pPr>
        <w:pStyle w:val="TableCaption"/>
      </w:pPr>
      <w:r>
        <w:t xml:space="preserve">Table S4. Overlap of the meta-analysis DEGs between analyses: share (%) of the DEGs of the row analysis also found by the column analysis.</w:t>
      </w:r>
    </w:p>
    <w:tbl>
      <w:tblPr>
        <w:tblStyle w:val="Table"/>
        <w:tblW w:type="pct" w:w="5000"/>
        <w:tblLook w:firstRow="1" w:lastRow="0" w:firstColumn="0" w:lastColumn="0" w:noHBand="0" w:noVBand="0" w:val="0020"/>
        <w:jc w:val="start"/>
        <w:tblCaption w:val="Table S4. Overlap of the meta-analysis DEGs between analyses: share (%) of the DEGs of the row analysis also found by the column analysis."/>
      </w:tblPr>
      <w:tblGrid>
        <w:gridCol w:w="1440"/>
        <w:gridCol w:w="822"/>
        <w:gridCol w:w="1234"/>
        <w:gridCol w:w="771"/>
        <w:gridCol w:w="1182"/>
        <w:gridCol w:w="1028"/>
        <w:gridCol w:w="1440"/>
      </w:tblGrid>
      <w:tr>
        <w:trPr>
          <w:tblHeader w:val="true"/>
        </w:trPr>
        <w:tc>
          <w:tcPr/>
          <w:p>
            <w:pPr>
              <w:pStyle w:val="Compact"/>
              <w:jc w:val="left"/>
            </w:pPr>
            <w:r>
              <w:t xml:space="preserve">analysis</w:t>
            </w:r>
          </w:p>
        </w:tc>
        <w:tc>
          <w:tcPr/>
          <w:p>
            <w:pPr>
              <w:pStyle w:val="Compact"/>
              <w:jc w:val="right"/>
            </w:pPr>
            <w:r>
              <w:t xml:space="preserve">DESeq2 + Fisher</w:t>
            </w:r>
          </w:p>
        </w:tc>
        <w:tc>
          <w:tcPr/>
          <w:p>
            <w:pPr>
              <w:pStyle w:val="Compact"/>
              <w:jc w:val="right"/>
            </w:pPr>
            <w:r>
              <w:t xml:space="preserve">DESeq2 + Inverse normal</w:t>
            </w:r>
          </w:p>
        </w:tc>
        <w:tc>
          <w:tcPr/>
          <w:p>
            <w:pPr>
              <w:pStyle w:val="Compact"/>
              <w:jc w:val="right"/>
            </w:pPr>
            <w:r>
              <w:t xml:space="preserve">edgeR + Fisher</w:t>
            </w:r>
          </w:p>
        </w:tc>
        <w:tc>
          <w:tcPr/>
          <w:p>
            <w:pPr>
              <w:pStyle w:val="Compact"/>
              <w:jc w:val="right"/>
            </w:pPr>
            <w:r>
              <w:t xml:space="preserve">edgeR + Inverse normal</w:t>
            </w:r>
          </w:p>
        </w:tc>
        <w:tc>
          <w:tcPr/>
          <w:p>
            <w:pPr>
              <w:pStyle w:val="Compact"/>
              <w:jc w:val="right"/>
            </w:pPr>
            <w:r>
              <w:t xml:space="preserve">limma-voom + Fisher</w:t>
            </w:r>
          </w:p>
        </w:tc>
        <w:tc>
          <w:tcPr/>
          <w:p>
            <w:pPr>
              <w:pStyle w:val="Compact"/>
              <w:jc w:val="right"/>
            </w:pPr>
            <w:r>
              <w:t xml:space="preserve">limma-voom + Inverse normal</w:t>
            </w:r>
          </w:p>
        </w:tc>
      </w:tr>
      <w:tr>
        <w:tc>
          <w:tcPr/>
          <w:p>
            <w:pPr>
              <w:pStyle w:val="Compact"/>
              <w:jc w:val="left"/>
            </w:pPr>
            <w:r>
              <w:t xml:space="preserve">DESeq2 + Fisher</w:t>
            </w:r>
          </w:p>
        </w:tc>
        <w:tc>
          <w:tcPr/>
          <w:p>
            <w:pPr>
              <w:pStyle w:val="Compact"/>
              <w:jc w:val="right"/>
            </w:pPr>
            <w:r>
              <w:t xml:space="preserve">100.0</w:t>
            </w:r>
          </w:p>
        </w:tc>
        <w:tc>
          <w:tcPr/>
          <w:p>
            <w:pPr>
              <w:pStyle w:val="Compact"/>
              <w:jc w:val="right"/>
            </w:pPr>
            <w:r>
              <w:t xml:space="preserve">86.6</w:t>
            </w:r>
          </w:p>
        </w:tc>
        <w:tc>
          <w:tcPr/>
          <w:p>
            <w:pPr>
              <w:pStyle w:val="Compact"/>
              <w:jc w:val="right"/>
            </w:pPr>
            <w:r>
              <w:t xml:space="preserve">86.3</w:t>
            </w:r>
          </w:p>
        </w:tc>
        <w:tc>
          <w:tcPr/>
          <w:p>
            <w:pPr>
              <w:pStyle w:val="Compact"/>
              <w:jc w:val="right"/>
            </w:pPr>
            <w:r>
              <w:t xml:space="preserve">73.7</w:t>
            </w:r>
          </w:p>
        </w:tc>
        <w:tc>
          <w:tcPr/>
          <w:p>
            <w:pPr>
              <w:pStyle w:val="Compact"/>
              <w:jc w:val="right"/>
            </w:pPr>
            <w:r>
              <w:t xml:space="preserve">86.1</w:t>
            </w:r>
          </w:p>
        </w:tc>
        <w:tc>
          <w:tcPr/>
          <w:p>
            <w:pPr>
              <w:pStyle w:val="Compact"/>
              <w:jc w:val="right"/>
            </w:pPr>
            <w:r>
              <w:t xml:space="preserve">72.4</w:t>
            </w:r>
          </w:p>
        </w:tc>
      </w:tr>
      <w:tr>
        <w:tc>
          <w:tcPr/>
          <w:p>
            <w:pPr>
              <w:pStyle w:val="Compact"/>
              <w:jc w:val="left"/>
            </w:pPr>
            <w:r>
              <w:t xml:space="preserve">DESeq2 + Inverse normal</w:t>
            </w:r>
          </w:p>
        </w:tc>
        <w:tc>
          <w:tcPr/>
          <w:p>
            <w:pPr>
              <w:pStyle w:val="Compact"/>
              <w:jc w:val="right"/>
            </w:pPr>
            <w:r>
              <w:t xml:space="preserve">98.5</w:t>
            </w:r>
          </w:p>
        </w:tc>
        <w:tc>
          <w:tcPr/>
          <w:p>
            <w:pPr>
              <w:pStyle w:val="Compact"/>
              <w:jc w:val="right"/>
            </w:pPr>
            <w:r>
              <w:t xml:space="preserve">100.0</w:t>
            </w:r>
          </w:p>
        </w:tc>
        <w:tc>
          <w:tcPr/>
          <w:p>
            <w:pPr>
              <w:pStyle w:val="Compact"/>
              <w:jc w:val="right"/>
            </w:pPr>
            <w:r>
              <w:t xml:space="preserve">90.9</w:t>
            </w:r>
          </w:p>
        </w:tc>
        <w:tc>
          <w:tcPr/>
          <w:p>
            <w:pPr>
              <w:pStyle w:val="Compact"/>
              <w:jc w:val="right"/>
            </w:pPr>
            <w:r>
              <w:t xml:space="preserve">81.7</w:t>
            </w:r>
          </w:p>
        </w:tc>
        <w:tc>
          <w:tcPr/>
          <w:p>
            <w:pPr>
              <w:pStyle w:val="Compact"/>
              <w:jc w:val="right"/>
            </w:pPr>
            <w:r>
              <w:t xml:space="preserve">90.2</w:t>
            </w:r>
          </w:p>
        </w:tc>
        <w:tc>
          <w:tcPr/>
          <w:p>
            <w:pPr>
              <w:pStyle w:val="Compact"/>
              <w:jc w:val="right"/>
            </w:pPr>
            <w:r>
              <w:t xml:space="preserve">80.8</w:t>
            </w:r>
          </w:p>
        </w:tc>
      </w:tr>
      <w:tr>
        <w:tc>
          <w:tcPr/>
          <w:p>
            <w:pPr>
              <w:pStyle w:val="Compact"/>
              <w:jc w:val="left"/>
            </w:pPr>
            <w:r>
              <w:t xml:space="preserve">edgeR + Fisher</w:t>
            </w:r>
          </w:p>
        </w:tc>
        <w:tc>
          <w:tcPr/>
          <w:p>
            <w:pPr>
              <w:pStyle w:val="Compact"/>
              <w:jc w:val="right"/>
            </w:pPr>
            <w:r>
              <w:t xml:space="preserve">85.6</w:t>
            </w:r>
          </w:p>
        </w:tc>
        <w:tc>
          <w:tcPr/>
          <w:p>
            <w:pPr>
              <w:pStyle w:val="Compact"/>
              <w:jc w:val="right"/>
            </w:pPr>
            <w:r>
              <w:t xml:space="preserve">79.3</w:t>
            </w:r>
          </w:p>
        </w:tc>
        <w:tc>
          <w:tcPr/>
          <w:p>
            <w:pPr>
              <w:pStyle w:val="Compact"/>
              <w:jc w:val="right"/>
            </w:pPr>
            <w:r>
              <w:t xml:space="preserve">100.0</w:t>
            </w:r>
          </w:p>
        </w:tc>
        <w:tc>
          <w:tcPr/>
          <w:p>
            <w:pPr>
              <w:pStyle w:val="Compact"/>
              <w:jc w:val="right"/>
            </w:pPr>
            <w:r>
              <w:t xml:space="preserve">82.2</w:t>
            </w:r>
          </w:p>
        </w:tc>
        <w:tc>
          <w:tcPr/>
          <w:p>
            <w:pPr>
              <w:pStyle w:val="Compact"/>
              <w:jc w:val="right"/>
            </w:pPr>
            <w:r>
              <w:t xml:space="preserve">93.6</w:t>
            </w:r>
          </w:p>
        </w:tc>
        <w:tc>
          <w:tcPr/>
          <w:p>
            <w:pPr>
              <w:pStyle w:val="Compact"/>
              <w:jc w:val="right"/>
            </w:pPr>
            <w:r>
              <w:t xml:space="preserve">78.5</w:t>
            </w:r>
          </w:p>
        </w:tc>
      </w:tr>
      <w:tr>
        <w:tc>
          <w:tcPr/>
          <w:p>
            <w:pPr>
              <w:pStyle w:val="Compact"/>
              <w:jc w:val="left"/>
            </w:pPr>
            <w:r>
              <w:t xml:space="preserve">edgeR + Inverse normal</w:t>
            </w:r>
          </w:p>
        </w:tc>
        <w:tc>
          <w:tcPr/>
          <w:p>
            <w:pPr>
              <w:pStyle w:val="Compact"/>
              <w:jc w:val="right"/>
            </w:pPr>
            <w:r>
              <w:t xml:space="preserve">88.1</w:t>
            </w:r>
          </w:p>
        </w:tc>
        <w:tc>
          <w:tcPr/>
          <w:p>
            <w:pPr>
              <w:pStyle w:val="Compact"/>
              <w:jc w:val="right"/>
            </w:pPr>
            <w:r>
              <w:t xml:space="preserve">85.9</w:t>
            </w:r>
          </w:p>
        </w:tc>
        <w:tc>
          <w:tcPr/>
          <w:p>
            <w:pPr>
              <w:pStyle w:val="Compact"/>
              <w:jc w:val="right"/>
            </w:pPr>
            <w:r>
              <w:t xml:space="preserve">99.0</w:t>
            </w:r>
          </w:p>
        </w:tc>
        <w:tc>
          <w:tcPr/>
          <w:p>
            <w:pPr>
              <w:pStyle w:val="Compact"/>
              <w:jc w:val="right"/>
            </w:pPr>
            <w:r>
              <w:t xml:space="preserve">100.0</w:t>
            </w:r>
          </w:p>
        </w:tc>
        <w:tc>
          <w:tcPr/>
          <w:p>
            <w:pPr>
              <w:pStyle w:val="Compact"/>
              <w:jc w:val="right"/>
            </w:pPr>
            <w:r>
              <w:t xml:space="preserve">95.8</w:t>
            </w:r>
          </w:p>
        </w:tc>
        <w:tc>
          <w:tcPr/>
          <w:p>
            <w:pPr>
              <w:pStyle w:val="Compact"/>
              <w:jc w:val="right"/>
            </w:pPr>
            <w:r>
              <w:t xml:space="preserve">93.3</w:t>
            </w:r>
          </w:p>
        </w:tc>
      </w:tr>
      <w:tr>
        <w:tc>
          <w:tcPr/>
          <w:p>
            <w:pPr>
              <w:pStyle w:val="Compact"/>
              <w:jc w:val="left"/>
            </w:pPr>
            <w:r>
              <w:t xml:space="preserve">limma-voom + Fisher</w:t>
            </w:r>
          </w:p>
        </w:tc>
        <w:tc>
          <w:tcPr/>
          <w:p>
            <w:pPr>
              <w:pStyle w:val="Compact"/>
              <w:jc w:val="right"/>
            </w:pPr>
            <w:r>
              <w:t xml:space="preserve">87.0</w:t>
            </w:r>
          </w:p>
        </w:tc>
        <w:tc>
          <w:tcPr/>
          <w:p>
            <w:pPr>
              <w:pStyle w:val="Compact"/>
              <w:jc w:val="right"/>
            </w:pPr>
            <w:r>
              <w:t xml:space="preserve">80.2</w:t>
            </w:r>
          </w:p>
        </w:tc>
        <w:tc>
          <w:tcPr/>
          <w:p>
            <w:pPr>
              <w:pStyle w:val="Compact"/>
              <w:jc w:val="right"/>
            </w:pPr>
            <w:r>
              <w:t xml:space="preserve">95.4</w:t>
            </w:r>
          </w:p>
        </w:tc>
        <w:tc>
          <w:tcPr/>
          <w:p>
            <w:pPr>
              <w:pStyle w:val="Compact"/>
              <w:jc w:val="right"/>
            </w:pPr>
            <w:r>
              <w:t xml:space="preserve">81.0</w:t>
            </w:r>
          </w:p>
        </w:tc>
        <w:tc>
          <w:tcPr/>
          <w:p>
            <w:pPr>
              <w:pStyle w:val="Compact"/>
              <w:jc w:val="right"/>
            </w:pPr>
            <w:r>
              <w:t xml:space="preserve">100.0</w:t>
            </w:r>
          </w:p>
        </w:tc>
        <w:tc>
          <w:tcPr/>
          <w:p>
            <w:pPr>
              <w:pStyle w:val="Compact"/>
              <w:jc w:val="right"/>
            </w:pPr>
            <w:r>
              <w:t xml:space="preserve">80.5</w:t>
            </w:r>
          </w:p>
        </w:tc>
      </w:tr>
      <w:tr>
        <w:tc>
          <w:tcPr/>
          <w:p>
            <w:pPr>
              <w:pStyle w:val="Compact"/>
              <w:jc w:val="left"/>
            </w:pPr>
            <w:r>
              <w:t xml:space="preserve">limma-voom + Inverse normal</w:t>
            </w:r>
          </w:p>
        </w:tc>
        <w:tc>
          <w:tcPr/>
          <w:p>
            <w:pPr>
              <w:pStyle w:val="Compact"/>
              <w:jc w:val="right"/>
            </w:pPr>
            <w:r>
              <w:t xml:space="preserve">89.1</w:t>
            </w:r>
          </w:p>
        </w:tc>
        <w:tc>
          <w:tcPr/>
          <w:p>
            <w:pPr>
              <w:pStyle w:val="Compact"/>
              <w:jc w:val="right"/>
            </w:pPr>
            <w:r>
              <w:t xml:space="preserve">87.5</w:t>
            </w:r>
          </w:p>
        </w:tc>
        <w:tc>
          <w:tcPr/>
          <w:p>
            <w:pPr>
              <w:pStyle w:val="Compact"/>
              <w:jc w:val="right"/>
            </w:pPr>
            <w:r>
              <w:t xml:space="preserve">97.4</w:t>
            </w:r>
          </w:p>
        </w:tc>
        <w:tc>
          <w:tcPr/>
          <w:p>
            <w:pPr>
              <w:pStyle w:val="Compact"/>
              <w:jc w:val="right"/>
            </w:pPr>
            <w:r>
              <w:t xml:space="preserve">96.0</w:t>
            </w:r>
          </w:p>
        </w:tc>
        <w:tc>
          <w:tcPr/>
          <w:p>
            <w:pPr>
              <w:pStyle w:val="Compact"/>
              <w:jc w:val="right"/>
            </w:pPr>
            <w:r>
              <w:t xml:space="preserve">98.0</w:t>
            </w:r>
          </w:p>
        </w:tc>
        <w:tc>
          <w:tcPr/>
          <w:p>
            <w:pPr>
              <w:pStyle w:val="Compact"/>
              <w:jc w:val="right"/>
            </w:pPr>
            <w:r>
              <w:t xml:space="preserve">100.0</w:t>
            </w:r>
          </w:p>
        </w:tc>
      </w:tr>
    </w:tbl>
    <w:bookmarkEnd w:id="24"/>
    <w:bookmarkStart w:id="25" w:name="s3.-microarray-case-study"/>
    <w:p>
      <w:pPr>
        <w:pStyle w:val="Heading1"/>
      </w:pPr>
      <w:r>
        <w:t xml:space="preserve">S3. Microarray case study</w:t>
      </w:r>
    </w:p>
    <w:p>
      <w:pPr>
        <w:pStyle w:val="FirstParagraph"/>
      </w:pPr>
      <w:r>
        <w:t xml:space="preserve">The bundled microarray demo combines three GEO series of wild-type</w:t>
      </w:r>
      <w:r>
        <w:t xml:space="preserve"> </w:t>
      </w:r>
      <w:r>
        <w:rPr>
          <w:iCs/>
          <w:i/>
        </w:rPr>
        <w:t xml:space="preserve">Synechocystis</w:t>
      </w:r>
      <w:r>
        <w:t xml:space="preserve"> </w:t>
      </w:r>
      <w:r>
        <w:t xml:space="preserve">sp. PCC 6803 on platform GPL15867 (GSE82120, GSE63352, GSE68250), grown at high CO2 (HC) and 3 h or 24 h after the shift to low CO2 (LC). After probe collapsing (the probe with the highest mean expression per gene; probes without a gene or with several genes removed) and intersection, 3,358 genes were measured in all three studies (Table S5). With Fisher’s method, the meta-analysis found 1051 DEGs for LC_3h vs HC (two studies; GSE82120 has no 3 h samples) and 1,861 for LC_24h vs HC (three studies) (Table S6).</w:t>
      </w:r>
    </w:p>
    <w:p>
      <w:pPr>
        <w:pStyle w:val="TableCaption"/>
      </w:pPr>
      <w:r>
        <w:t xml:space="preserve">Table S5. Microarray demo: data preparation per study.</w:t>
      </w:r>
    </w:p>
    <w:tbl>
      <w:tblPr>
        <w:tblStyle w:val="Table"/>
        <w:tblW w:type="pct" w:w="5000"/>
        <w:tblLook w:firstRow="1" w:lastRow="0" w:firstColumn="0" w:lastColumn="0" w:noHBand="0" w:noVBand="0" w:val="0020"/>
        <w:jc w:val="start"/>
        <w:tblCaption w:val="Table S5. Microarray demo: data preparation per study."/>
      </w:tblPr>
      <w:tblGrid>
        <w:gridCol w:w="783"/>
        <w:gridCol w:w="696"/>
        <w:gridCol w:w="609"/>
        <w:gridCol w:w="1914"/>
        <w:gridCol w:w="2262"/>
        <w:gridCol w:w="522"/>
        <w:gridCol w:w="1131"/>
      </w:tblGrid>
      <w:tr>
        <w:trPr>
          <w:tblHeader w:val="true"/>
        </w:trPr>
        <w:tc>
          <w:tcPr/>
          <w:p>
            <w:pPr>
              <w:pStyle w:val="Compact"/>
              <w:jc w:val="left"/>
            </w:pPr>
            <w:r>
              <w:t xml:space="preserve">Study</w:t>
            </w:r>
          </w:p>
        </w:tc>
        <w:tc>
          <w:tcPr/>
          <w:p>
            <w:pPr>
              <w:pStyle w:val="Compact"/>
              <w:jc w:val="right"/>
            </w:pPr>
            <w:r>
              <w:t xml:space="preserve">Samples</w:t>
            </w:r>
          </w:p>
        </w:tc>
        <w:tc>
          <w:tcPr/>
          <w:p>
            <w:pPr>
              <w:pStyle w:val="Compact"/>
              <w:jc w:val="right"/>
            </w:pPr>
            <w:r>
              <w:t xml:space="preserve">Probes</w:t>
            </w:r>
          </w:p>
        </w:tc>
        <w:tc>
          <w:tcPr/>
          <w:p>
            <w:pPr>
              <w:pStyle w:val="Compact"/>
              <w:jc w:val="right"/>
            </w:pPr>
            <w:r>
              <w:t xml:space="preserve">Probes without a gene</w:t>
            </w:r>
          </w:p>
        </w:tc>
        <w:tc>
          <w:tcPr/>
          <w:p>
            <w:pPr>
              <w:pStyle w:val="Compact"/>
              <w:jc w:val="right"/>
            </w:pPr>
            <w:r>
              <w:t xml:space="preserve">Probes with several genes</w:t>
            </w:r>
          </w:p>
        </w:tc>
        <w:tc>
          <w:tcPr/>
          <w:p>
            <w:pPr>
              <w:pStyle w:val="Compact"/>
              <w:jc w:val="right"/>
            </w:pPr>
            <w:r>
              <w:t xml:space="preserve">Genes</w:t>
            </w:r>
          </w:p>
        </w:tc>
        <w:tc>
          <w:tcPr/>
          <w:p>
            <w:pPr>
              <w:pStyle w:val="Compact"/>
              <w:jc w:val="left"/>
            </w:pPr>
            <w:r>
              <w:t xml:space="preserve">log2 applied</w:t>
            </w:r>
          </w:p>
        </w:tc>
      </w:tr>
      <w:tr>
        <w:tc>
          <w:tcPr/>
          <w:p>
            <w:pPr>
              <w:pStyle w:val="Compact"/>
              <w:jc w:val="left"/>
            </w:pPr>
            <w:r>
              <w:t xml:space="preserve">GSE82120</w:t>
            </w:r>
          </w:p>
        </w:tc>
        <w:tc>
          <w:tcPr/>
          <w:p>
            <w:pPr>
              <w:pStyle w:val="Compact"/>
              <w:jc w:val="right"/>
            </w:pPr>
            <w:r>
              <w:t xml:space="preserve">12</w:t>
            </w:r>
          </w:p>
        </w:tc>
        <w:tc>
          <w:tcPr/>
          <w:p>
            <w:pPr>
              <w:pStyle w:val="Compact"/>
              <w:jc w:val="right"/>
            </w:pPr>
            <w:r>
              <w:t xml:space="preserve">10080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3358</w:t>
            </w:r>
          </w:p>
        </w:tc>
        <w:tc>
          <w:tcPr/>
          <w:p>
            <w:pPr>
              <w:pStyle w:val="Compact"/>
              <w:jc w:val="left"/>
            </w:pPr>
            <w:r>
              <w:t xml:space="preserve">no</w:t>
            </w:r>
          </w:p>
        </w:tc>
      </w:tr>
      <w:tr>
        <w:tc>
          <w:tcPr/>
          <w:p>
            <w:pPr>
              <w:pStyle w:val="Compact"/>
              <w:jc w:val="left"/>
            </w:pPr>
            <w:r>
              <w:t xml:space="preserve">GSE63352</w:t>
            </w:r>
          </w:p>
        </w:tc>
        <w:tc>
          <w:tcPr/>
          <w:p>
            <w:pPr>
              <w:pStyle w:val="Compact"/>
              <w:jc w:val="right"/>
            </w:pPr>
            <w:r>
              <w:t xml:space="preserve">6</w:t>
            </w:r>
          </w:p>
        </w:tc>
        <w:tc>
          <w:tcPr/>
          <w:p>
            <w:pPr>
              <w:pStyle w:val="Compact"/>
              <w:jc w:val="right"/>
            </w:pPr>
            <w:r>
              <w:t xml:space="preserve">10080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3358</w:t>
            </w:r>
          </w:p>
        </w:tc>
        <w:tc>
          <w:tcPr/>
          <w:p>
            <w:pPr>
              <w:pStyle w:val="Compact"/>
              <w:jc w:val="left"/>
            </w:pPr>
            <w:r>
              <w:t xml:space="preserve">no</w:t>
            </w:r>
          </w:p>
        </w:tc>
      </w:tr>
      <w:tr>
        <w:tc>
          <w:tcPr/>
          <w:p>
            <w:pPr>
              <w:pStyle w:val="Compact"/>
              <w:jc w:val="left"/>
            </w:pPr>
            <w:r>
              <w:t xml:space="preserve">GSE68250</w:t>
            </w:r>
          </w:p>
        </w:tc>
        <w:tc>
          <w:tcPr/>
          <w:p>
            <w:pPr>
              <w:pStyle w:val="Compact"/>
              <w:jc w:val="right"/>
            </w:pPr>
            <w:r>
              <w:t xml:space="preserve">6</w:t>
            </w:r>
          </w:p>
        </w:tc>
        <w:tc>
          <w:tcPr/>
          <w:p>
            <w:pPr>
              <w:pStyle w:val="Compact"/>
              <w:jc w:val="right"/>
            </w:pPr>
            <w:r>
              <w:t xml:space="preserve">10080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3358</w:t>
            </w:r>
          </w:p>
        </w:tc>
        <w:tc>
          <w:tcPr/>
          <w:p>
            <w:pPr>
              <w:pStyle w:val="Compact"/>
              <w:jc w:val="left"/>
            </w:pPr>
            <w:r>
              <w:t xml:space="preserve">no</w:t>
            </w:r>
          </w:p>
        </w:tc>
      </w:tr>
    </w:tbl>
    <w:p/>
    <w:p>
      <w:pPr>
        <w:pStyle w:val="TableCaption"/>
      </w:pPr>
      <w:r>
        <w:t xml:space="preserve">Table S6. Microarray demo: meta-analysis DEGs (Fisher’s method).</w:t>
      </w:r>
    </w:p>
    <w:tbl>
      <w:tblPr>
        <w:tblStyle w:val="Table"/>
        <w:tblW w:type="pct" w:w="5000"/>
        <w:tblLook w:firstRow="1" w:lastRow="0" w:firstColumn="0" w:lastColumn="0" w:noHBand="0" w:noVBand="0" w:val="0020"/>
        <w:jc w:val="start"/>
        <w:tblCaption w:val="Table S6. Microarray demo: meta-analysis DEGs (Fisher’s method)."/>
      </w:tblPr>
      <w:tblGrid>
        <w:gridCol w:w="1354"/>
        <w:gridCol w:w="833"/>
        <w:gridCol w:w="625"/>
        <w:gridCol w:w="1042"/>
        <w:gridCol w:w="521"/>
        <w:gridCol w:w="521"/>
        <w:gridCol w:w="1250"/>
        <w:gridCol w:w="1771"/>
      </w:tblGrid>
      <w:tr>
        <w:trPr>
          <w:tblHeader w:val="true"/>
        </w:trPr>
        <w:tc>
          <w:tcPr/>
          <w:p>
            <w:pPr>
              <w:pStyle w:val="Compact"/>
              <w:jc w:val="left"/>
            </w:pPr>
            <w:r>
              <w:t xml:space="preserve">Comparison</w:t>
            </w:r>
          </w:p>
        </w:tc>
        <w:tc>
          <w:tcPr/>
          <w:p>
            <w:pPr>
              <w:pStyle w:val="Compact"/>
              <w:jc w:val="right"/>
            </w:pPr>
            <w:r>
              <w:t xml:space="preserve">Studies</w:t>
            </w:r>
          </w:p>
        </w:tc>
        <w:tc>
          <w:tcPr/>
          <w:p>
            <w:pPr>
              <w:pStyle w:val="Compact"/>
              <w:jc w:val="right"/>
            </w:pPr>
            <w:r>
              <w:t xml:space="preserve">Genes</w:t>
            </w:r>
          </w:p>
        </w:tc>
        <w:tc>
          <w:tcPr/>
          <w:p>
            <w:pPr>
              <w:pStyle w:val="Compact"/>
              <w:jc w:val="right"/>
            </w:pPr>
            <w:r>
              <w:t xml:space="preserve">Meta-DEGs</w:t>
            </w:r>
          </w:p>
        </w:tc>
        <w:tc>
          <w:tcPr/>
          <w:p>
            <w:pPr>
              <w:pStyle w:val="Compact"/>
              <w:jc w:val="right"/>
            </w:pPr>
            <w:r>
              <w:t xml:space="preserve">Up</w:t>
            </w:r>
          </w:p>
        </w:tc>
        <w:tc>
          <w:tcPr/>
          <w:p>
            <w:pPr>
              <w:pStyle w:val="Compact"/>
              <w:jc w:val="right"/>
            </w:pPr>
            <w:r>
              <w:t xml:space="preserve">Down</w:t>
            </w:r>
          </w:p>
        </w:tc>
        <w:tc>
          <w:tcPr/>
          <w:p>
            <w:pPr>
              <w:pStyle w:val="Compact"/>
              <w:jc w:val="left"/>
            </w:pPr>
            <w:r>
              <w:t xml:space="preserve">New (%)</w:t>
            </w:r>
          </w:p>
        </w:tc>
        <w:tc>
          <w:tcPr/>
          <w:p>
            <w:pPr>
              <w:pStyle w:val="Compact"/>
              <w:jc w:val="left"/>
            </w:pPr>
            <w:r>
              <w:t xml:space="preserve">Side-tracked (%)</w:t>
            </w:r>
          </w:p>
        </w:tc>
      </w:tr>
      <w:tr>
        <w:tc>
          <w:tcPr/>
          <w:p>
            <w:pPr>
              <w:pStyle w:val="Compact"/>
              <w:jc w:val="left"/>
            </w:pPr>
            <w:r>
              <w:t xml:space="preserve">LC_24h vs HC</w:t>
            </w:r>
          </w:p>
        </w:tc>
        <w:tc>
          <w:tcPr/>
          <w:p>
            <w:pPr>
              <w:pStyle w:val="Compact"/>
              <w:jc w:val="right"/>
            </w:pPr>
            <w:r>
              <w:t xml:space="preserve">3</w:t>
            </w:r>
          </w:p>
        </w:tc>
        <w:tc>
          <w:tcPr/>
          <w:p>
            <w:pPr>
              <w:pStyle w:val="Compact"/>
              <w:jc w:val="right"/>
            </w:pPr>
            <w:r>
              <w:t xml:space="preserve">3358</w:t>
            </w:r>
          </w:p>
        </w:tc>
        <w:tc>
          <w:tcPr/>
          <w:p>
            <w:pPr>
              <w:pStyle w:val="Compact"/>
              <w:jc w:val="right"/>
            </w:pPr>
            <w:r>
              <w:t xml:space="preserve">1861</w:t>
            </w:r>
          </w:p>
        </w:tc>
        <w:tc>
          <w:tcPr/>
          <w:p>
            <w:pPr>
              <w:pStyle w:val="Compact"/>
              <w:jc w:val="right"/>
            </w:pPr>
            <w:r>
              <w:t xml:space="preserve">1075</w:t>
            </w:r>
          </w:p>
        </w:tc>
        <w:tc>
          <w:tcPr/>
          <w:p>
            <w:pPr>
              <w:pStyle w:val="Compact"/>
              <w:jc w:val="right"/>
            </w:pPr>
            <w:r>
              <w:t xml:space="preserve">786</w:t>
            </w:r>
          </w:p>
        </w:tc>
        <w:tc>
          <w:tcPr/>
          <w:p>
            <w:pPr>
              <w:pStyle w:val="Compact"/>
              <w:jc w:val="left"/>
            </w:pPr>
            <w:r>
              <w:t xml:space="preserve">120 (6.45)</w:t>
            </w:r>
          </w:p>
        </w:tc>
        <w:tc>
          <w:tcPr/>
          <w:p>
            <w:pPr>
              <w:pStyle w:val="Compact"/>
              <w:jc w:val="left"/>
            </w:pPr>
            <w:r>
              <w:t xml:space="preserve">54 (3.01)</w:t>
            </w:r>
          </w:p>
        </w:tc>
      </w:tr>
      <w:tr>
        <w:tc>
          <w:tcPr/>
          <w:p>
            <w:pPr>
              <w:pStyle w:val="Compact"/>
              <w:jc w:val="left"/>
            </w:pPr>
            <w:r>
              <w:t xml:space="preserve">LC_3h vs HC</w:t>
            </w:r>
          </w:p>
        </w:tc>
        <w:tc>
          <w:tcPr/>
          <w:p>
            <w:pPr>
              <w:pStyle w:val="Compact"/>
              <w:jc w:val="right"/>
            </w:pPr>
            <w:r>
              <w:t xml:space="preserve">2</w:t>
            </w:r>
          </w:p>
        </w:tc>
        <w:tc>
          <w:tcPr/>
          <w:p>
            <w:pPr>
              <w:pStyle w:val="Compact"/>
              <w:jc w:val="right"/>
            </w:pPr>
            <w:r>
              <w:t xml:space="preserve">3358</w:t>
            </w:r>
          </w:p>
        </w:tc>
        <w:tc>
          <w:tcPr/>
          <w:p>
            <w:pPr>
              <w:pStyle w:val="Compact"/>
              <w:jc w:val="right"/>
            </w:pPr>
            <w:r>
              <w:t xml:space="preserve">1051</w:t>
            </w:r>
          </w:p>
        </w:tc>
        <w:tc>
          <w:tcPr/>
          <w:p>
            <w:pPr>
              <w:pStyle w:val="Compact"/>
              <w:jc w:val="right"/>
            </w:pPr>
            <w:r>
              <w:t xml:space="preserve">466</w:t>
            </w:r>
          </w:p>
        </w:tc>
        <w:tc>
          <w:tcPr/>
          <w:p>
            <w:pPr>
              <w:pStyle w:val="Compact"/>
              <w:jc w:val="right"/>
            </w:pPr>
            <w:r>
              <w:t xml:space="preserve">585</w:t>
            </w:r>
          </w:p>
        </w:tc>
        <w:tc>
          <w:tcPr/>
          <w:p>
            <w:pPr>
              <w:pStyle w:val="Compact"/>
              <w:jc w:val="left"/>
            </w:pPr>
            <w:r>
              <w:t xml:space="preserve">279 (26.55)</w:t>
            </w:r>
          </w:p>
        </w:tc>
        <w:tc>
          <w:tcPr/>
          <w:p>
            <w:pPr>
              <w:pStyle w:val="Compact"/>
              <w:jc w:val="left"/>
            </w:pPr>
            <w:r>
              <w:t xml:space="preserve">69 (8.2)</w:t>
            </w:r>
          </w:p>
        </w:tc>
      </w:tr>
    </w:tbl>
    <w:p>
      <w:pPr>
        <w:pStyle w:val="BodyText"/>
      </w:pPr>
      <w:r>
        <w:rPr>
          <w:bCs/>
          <w:b/>
        </w:rPr>
        <w:t xml:space="preserve">Known low-CO2-inducible genes.</w:t>
      </w:r>
      <w:r>
        <w:t xml:space="preserve"> </w:t>
      </w:r>
      <w:r>
        <w:t xml:space="preserve">All 12 checked genes of the inorganic-carbon concentrating mechanism and of the</w:t>
      </w:r>
      <w:r>
        <w:t xml:space="preserve"> </w:t>
      </w:r>
      <w:r>
        <w:rPr>
          <w:iCs/>
          <w:i/>
        </w:rPr>
        <w:t xml:space="preserve">flv4-2</w:t>
      </w:r>
      <w:r>
        <w:t xml:space="preserve"> </w:t>
      </w:r>
      <w:r>
        <w:t xml:space="preserve">operon were up-regulated meta-analysis DEGs in both comparisons (Table S7). Their locus tags were checked against KEGG (organism</w:t>
      </w:r>
      <w:r>
        <w:t xml:space="preserve"> </w:t>
      </w:r>
      <w:r>
        <w:rPr>
          <w:rStyle w:val="VerbatimChar"/>
        </w:rPr>
        <w:t xml:space="preserve">syn</w:t>
      </w:r>
      <w:r>
        <w:t xml:space="preserve">, list retrieved on 2026-10-22) and UniProt (taxon 1111708); some literature symbols (</w:t>
      </w:r>
      <w:r>
        <w:rPr>
          <w:iCs/>
          <w:i/>
        </w:rPr>
        <w:t xml:space="preserve">sbtA</w:t>
      </w:r>
      <w:r>
        <w:t xml:space="preserve">,</w:t>
      </w:r>
      <w:r>
        <w:t xml:space="preserve"> </w:t>
      </w:r>
      <w:r>
        <w:rPr>
          <w:iCs/>
          <w:i/>
        </w:rPr>
        <w:t xml:space="preserve">cupA</w:t>
      </w:r>
      <w:r>
        <w:t xml:space="preserve">,</w:t>
      </w:r>
      <w:r>
        <w:t xml:space="preserve"> </w:t>
      </w:r>
      <w:r>
        <w:rPr>
          <w:iCs/>
          <w:i/>
        </w:rPr>
        <w:t xml:space="preserve">flv4</w:t>
      </w:r>
      <w:r>
        <w:t xml:space="preserve">,</w:t>
      </w:r>
      <w:r>
        <w:t xml:space="preserve"> </w:t>
      </w:r>
      <w:r>
        <w:rPr>
          <w:iCs/>
          <w:i/>
        </w:rPr>
        <w:t xml:space="preserve">flv2</w:t>
      </w:r>
      <w:r>
        <w:t xml:space="preserve">) are not used by these databases, and KEGG names</w:t>
      </w:r>
      <w:r>
        <w:t xml:space="preserve"> </w:t>
      </w:r>
      <w:r>
        <w:rPr>
          <w:iCs/>
          <w:i/>
        </w:rPr>
        <w:t xml:space="preserve">cmpC</w:t>
      </w:r>
      <w:r>
        <w:t xml:space="preserve">/</w:t>
      </w:r>
      <w:r>
        <w:rPr>
          <w:iCs/>
          <w:i/>
        </w:rPr>
        <w:t xml:space="preserve">cmpD</w:t>
      </w:r>
      <w:r>
        <w:t xml:space="preserve"> </w:t>
      </w:r>
      <w:r>
        <w:t xml:space="preserve">as</w:t>
      </w:r>
      <w:r>
        <w:t xml:space="preserve"> </w:t>
      </w:r>
      <w:r>
        <w:rPr>
          <w:iCs/>
          <w:i/>
        </w:rPr>
        <w:t xml:space="preserve">nrtC</w:t>
      </w:r>
      <w:r>
        <w:t xml:space="preserve">/</w:t>
      </w:r>
      <w:r>
        <w:rPr>
          <w:iCs/>
          <w:i/>
        </w:rPr>
        <w:t xml:space="preserve">nrtD</w:t>
      </w:r>
      <w:r>
        <w:t xml:space="preserve">, so all names are given.</w:t>
      </w:r>
    </w:p>
    <w:p>
      <w:pPr>
        <w:pStyle w:val="TableCaption"/>
      </w:pPr>
      <w:r>
        <w:t xml:space="preserve">Table S7. Known low-CO2-inducible genes in the microarray meta-analysis: mean log2 fold change across studies (LC vs HC) and whether the gene is a meta-analysis DEG.</w:t>
      </w:r>
    </w:p>
    <w:tbl>
      <w:tblPr>
        <w:tblStyle w:val="Table"/>
        <w:tblW w:type="pct" w:w="5000"/>
        <w:tblLook w:firstRow="1" w:lastRow="0" w:firstColumn="0" w:lastColumn="0" w:noHBand="0" w:noVBand="0" w:val="0020"/>
        <w:jc w:val="start"/>
        <w:tblCaption w:val="Table S7. Known low-CO2-inducible genes in the microarray meta-analysis: mean log2 fold change across studies (LC vs HC) and whether the gene is a meta-analysis DEG."/>
      </w:tblPr>
      <w:tblGrid>
        <w:gridCol w:w="401"/>
        <w:gridCol w:w="802"/>
        <w:gridCol w:w="1453"/>
        <w:gridCol w:w="1904"/>
        <w:gridCol w:w="1102"/>
        <w:gridCol w:w="551"/>
        <w:gridCol w:w="601"/>
        <w:gridCol w:w="1102"/>
      </w:tblGrid>
      <w:tr>
        <w:trPr>
          <w:tblHeader w:val="true"/>
        </w:trPr>
        <w:tc>
          <w:tcPr/>
          <w:p>
            <w:pPr>
              <w:pStyle w:val="Compact"/>
              <w:jc w:val="left"/>
            </w:pPr>
            <w:r>
              <w:t xml:space="preserve">Locus</w:t>
            </w:r>
          </w:p>
        </w:tc>
        <w:tc>
          <w:tcPr/>
          <w:p>
            <w:pPr>
              <w:pStyle w:val="Compact"/>
              <w:jc w:val="left"/>
            </w:pPr>
            <w:r>
              <w:t xml:space="preserve">Literature name</w:t>
            </w:r>
          </w:p>
        </w:tc>
        <w:tc>
          <w:tcPr/>
          <w:p>
            <w:pPr>
              <w:pStyle w:val="Compact"/>
              <w:jc w:val="left"/>
            </w:pPr>
            <w:r>
              <w:t xml:space="preserve">System</w:t>
            </w:r>
          </w:p>
        </w:tc>
        <w:tc>
          <w:tcPr/>
          <w:p>
            <w:pPr>
              <w:pStyle w:val="Compact"/>
              <w:jc w:val="left"/>
            </w:pPr>
            <w:r>
              <w:t xml:space="preserve">KEGG</w:t>
            </w:r>
          </w:p>
        </w:tc>
        <w:tc>
          <w:tcPr/>
          <w:p>
            <w:pPr>
              <w:pStyle w:val="Compact"/>
              <w:jc w:val="left"/>
            </w:pPr>
            <w:r>
              <w:t xml:space="preserve">UniProt</w:t>
            </w:r>
          </w:p>
        </w:tc>
        <w:tc>
          <w:tcPr/>
          <w:p>
            <w:pPr>
              <w:pStyle w:val="Compact"/>
              <w:jc w:val="left"/>
            </w:pPr>
            <w:r>
              <w:t xml:space="preserve">log2FC 3 h</w:t>
            </w:r>
          </w:p>
        </w:tc>
        <w:tc>
          <w:tcPr/>
          <w:p>
            <w:pPr>
              <w:pStyle w:val="Compact"/>
              <w:jc w:val="left"/>
            </w:pPr>
            <w:r>
              <w:t xml:space="preserve">log2FC 24 h</w:t>
            </w:r>
          </w:p>
        </w:tc>
        <w:tc>
          <w:tcPr/>
          <w:p>
            <w:pPr>
              <w:pStyle w:val="Compact"/>
              <w:jc w:val="left"/>
            </w:pPr>
            <w:r>
              <w:t xml:space="preserve">Meta-DEG (3 h / 24 h)</w:t>
            </w:r>
          </w:p>
        </w:tc>
      </w:tr>
      <w:tr>
        <w:tc>
          <w:tcPr/>
          <w:p>
            <w:pPr>
              <w:pStyle w:val="Compact"/>
              <w:jc w:val="left"/>
            </w:pPr>
            <w:r>
              <w:t xml:space="preserve">slr1512</w:t>
            </w:r>
          </w:p>
        </w:tc>
        <w:tc>
          <w:tcPr/>
          <w:p>
            <w:pPr>
              <w:pStyle w:val="Compact"/>
              <w:jc w:val="left"/>
            </w:pPr>
            <w:r>
              <w:t xml:space="preserve">sbtA</w:t>
            </w:r>
          </w:p>
        </w:tc>
        <w:tc>
          <w:tcPr/>
          <w:p>
            <w:pPr>
              <w:pStyle w:val="Compact"/>
              <w:jc w:val="left"/>
            </w:pPr>
            <w:r>
              <w:t xml:space="preserve">Na+/HCO3- symporter SbtA</w:t>
            </w:r>
          </w:p>
        </w:tc>
        <w:tc>
          <w:tcPr/>
          <w:p>
            <w:pPr>
              <w:pStyle w:val="Compact"/>
              <w:jc w:val="left"/>
            </w:pPr>
            <w:r>
              <w:t xml:space="preserve">unknown protein</w:t>
            </w:r>
          </w:p>
        </w:tc>
        <w:tc>
          <w:tcPr/>
          <w:p>
            <w:pPr>
              <w:pStyle w:val="Compact"/>
              <w:jc w:val="left"/>
            </w:pPr>
            <w:r>
              <w:t xml:space="preserve">P73953 (slr1512)</w:t>
            </w:r>
          </w:p>
        </w:tc>
        <w:tc>
          <w:tcPr/>
          <w:p>
            <w:pPr>
              <w:pStyle w:val="Compact"/>
              <w:jc w:val="left"/>
            </w:pPr>
            <w:r>
              <w:t xml:space="preserve">3.15</w:t>
            </w:r>
          </w:p>
        </w:tc>
        <w:tc>
          <w:tcPr/>
          <w:p>
            <w:pPr>
              <w:pStyle w:val="Compact"/>
              <w:jc w:val="left"/>
            </w:pPr>
            <w:r>
              <w:t xml:space="preserve">3.22</w:t>
            </w:r>
          </w:p>
        </w:tc>
        <w:tc>
          <w:tcPr/>
          <w:p>
            <w:pPr>
              <w:pStyle w:val="Compact"/>
              <w:jc w:val="left"/>
            </w:pPr>
            <w:r>
              <w:t xml:space="preserve">yes / yes</w:t>
            </w:r>
          </w:p>
        </w:tc>
      </w:tr>
      <w:tr>
        <w:tc>
          <w:tcPr/>
          <w:p>
            <w:pPr>
              <w:pStyle w:val="Compact"/>
              <w:jc w:val="left"/>
            </w:pPr>
            <w:r>
              <w:t xml:space="preserve">slr1513</w:t>
            </w:r>
          </w:p>
        </w:tc>
        <w:tc>
          <w:tcPr/>
          <w:p>
            <w:pPr>
              <w:pStyle w:val="Compact"/>
              <w:jc w:val="left"/>
            </w:pPr>
            <w:r>
              <w:t xml:space="preserve">sbtB</w:t>
            </w:r>
          </w:p>
        </w:tc>
        <w:tc>
          <w:tcPr/>
          <w:p>
            <w:pPr>
              <w:pStyle w:val="Compact"/>
              <w:jc w:val="left"/>
            </w:pPr>
            <w:r>
              <w:t xml:space="preserve">SbtA-associated protein SbtB</w:t>
            </w:r>
          </w:p>
        </w:tc>
        <w:tc>
          <w:tcPr/>
          <w:p>
            <w:pPr>
              <w:pStyle w:val="Compact"/>
              <w:jc w:val="left"/>
            </w:pPr>
            <w:r>
              <w:t xml:space="preserve">unknown protein</w:t>
            </w:r>
          </w:p>
        </w:tc>
        <w:tc>
          <w:tcPr/>
          <w:p>
            <w:pPr>
              <w:pStyle w:val="Compact"/>
              <w:jc w:val="left"/>
            </w:pPr>
            <w:r>
              <w:t xml:space="preserve">P73954 (slr1513)</w:t>
            </w:r>
          </w:p>
        </w:tc>
        <w:tc>
          <w:tcPr/>
          <w:p>
            <w:pPr>
              <w:pStyle w:val="Compact"/>
              <w:jc w:val="left"/>
            </w:pPr>
            <w:r>
              <w:t xml:space="preserve">3.01</w:t>
            </w:r>
          </w:p>
        </w:tc>
        <w:tc>
          <w:tcPr/>
          <w:p>
            <w:pPr>
              <w:pStyle w:val="Compact"/>
              <w:jc w:val="left"/>
            </w:pPr>
            <w:r>
              <w:t xml:space="preserve">2.94</w:t>
            </w:r>
          </w:p>
        </w:tc>
        <w:tc>
          <w:tcPr/>
          <w:p>
            <w:pPr>
              <w:pStyle w:val="Compact"/>
              <w:jc w:val="left"/>
            </w:pPr>
            <w:r>
              <w:t xml:space="preserve">yes / yes</w:t>
            </w:r>
          </w:p>
        </w:tc>
      </w:tr>
      <w:tr>
        <w:tc>
          <w:tcPr/>
          <w:p>
            <w:pPr>
              <w:pStyle w:val="Compact"/>
              <w:jc w:val="left"/>
            </w:pPr>
            <w:r>
              <w:t xml:space="preserve">slr0040</w:t>
            </w:r>
          </w:p>
        </w:tc>
        <w:tc>
          <w:tcPr/>
          <w:p>
            <w:pPr>
              <w:pStyle w:val="Compact"/>
              <w:jc w:val="left"/>
            </w:pPr>
            <w:r>
              <w:t xml:space="preserve">cmpA</w:t>
            </w:r>
          </w:p>
        </w:tc>
        <w:tc>
          <w:tcPr/>
          <w:p>
            <w:pPr>
              <w:pStyle w:val="Compact"/>
              <w:jc w:val="left"/>
            </w:pPr>
            <w:r>
              <w:t xml:space="preserve">BCT1 HCO3- transporter</w:t>
            </w:r>
          </w:p>
        </w:tc>
        <w:tc>
          <w:tcPr/>
          <w:p>
            <w:pPr>
              <w:pStyle w:val="Compact"/>
              <w:jc w:val="left"/>
            </w:pPr>
            <w:r>
              <w:t xml:space="preserve">cmpA; bicarbonate transporter</w:t>
            </w:r>
          </w:p>
        </w:tc>
        <w:tc>
          <w:tcPr/>
          <w:p>
            <w:pPr>
              <w:pStyle w:val="Compact"/>
              <w:jc w:val="left"/>
            </w:pPr>
            <w:r>
              <w:t xml:space="preserve">Q55460 (cmpA slr0040)</w:t>
            </w:r>
          </w:p>
        </w:tc>
        <w:tc>
          <w:tcPr/>
          <w:p>
            <w:pPr>
              <w:pStyle w:val="Compact"/>
              <w:jc w:val="left"/>
            </w:pPr>
            <w:r>
              <w:t xml:space="preserve">3.68</w:t>
            </w:r>
          </w:p>
        </w:tc>
        <w:tc>
          <w:tcPr/>
          <w:p>
            <w:pPr>
              <w:pStyle w:val="Compact"/>
              <w:jc w:val="left"/>
            </w:pPr>
            <w:r>
              <w:t xml:space="preserve">4.20</w:t>
            </w:r>
          </w:p>
        </w:tc>
        <w:tc>
          <w:tcPr/>
          <w:p>
            <w:pPr>
              <w:pStyle w:val="Compact"/>
              <w:jc w:val="left"/>
            </w:pPr>
            <w:r>
              <w:t xml:space="preserve">yes / yes</w:t>
            </w:r>
          </w:p>
        </w:tc>
      </w:tr>
      <w:tr>
        <w:tc>
          <w:tcPr/>
          <w:p>
            <w:pPr>
              <w:pStyle w:val="Compact"/>
              <w:jc w:val="left"/>
            </w:pPr>
            <w:r>
              <w:t xml:space="preserve">slr0041</w:t>
            </w:r>
          </w:p>
        </w:tc>
        <w:tc>
          <w:tcPr/>
          <w:p>
            <w:pPr>
              <w:pStyle w:val="Compact"/>
              <w:jc w:val="left"/>
            </w:pPr>
            <w:r>
              <w:t xml:space="preserve">cmpB</w:t>
            </w:r>
          </w:p>
        </w:tc>
        <w:tc>
          <w:tcPr/>
          <w:p>
            <w:pPr>
              <w:pStyle w:val="Compact"/>
              <w:jc w:val="left"/>
            </w:pPr>
            <w:r>
              <w:t xml:space="preserve">BCT1 HCO3- transporter</w:t>
            </w:r>
          </w:p>
        </w:tc>
        <w:tc>
          <w:tcPr/>
          <w:p>
            <w:pPr>
              <w:pStyle w:val="Compact"/>
              <w:jc w:val="left"/>
            </w:pPr>
            <w:r>
              <w:t xml:space="preserve">cmpB; unknown protein</w:t>
            </w:r>
          </w:p>
        </w:tc>
        <w:tc>
          <w:tcPr/>
          <w:p>
            <w:pPr>
              <w:pStyle w:val="Compact"/>
              <w:jc w:val="left"/>
            </w:pPr>
            <w:r>
              <w:t xml:space="preserve">Q55461 (cmpB slr0041)</w:t>
            </w:r>
          </w:p>
        </w:tc>
        <w:tc>
          <w:tcPr/>
          <w:p>
            <w:pPr>
              <w:pStyle w:val="Compact"/>
              <w:jc w:val="left"/>
            </w:pPr>
            <w:r>
              <w:t xml:space="preserve">3.82</w:t>
            </w:r>
          </w:p>
        </w:tc>
        <w:tc>
          <w:tcPr/>
          <w:p>
            <w:pPr>
              <w:pStyle w:val="Compact"/>
              <w:jc w:val="left"/>
            </w:pPr>
            <w:r>
              <w:t xml:space="preserve">4.16</w:t>
            </w:r>
          </w:p>
        </w:tc>
        <w:tc>
          <w:tcPr/>
          <w:p>
            <w:pPr>
              <w:pStyle w:val="Compact"/>
              <w:jc w:val="left"/>
            </w:pPr>
            <w:r>
              <w:t xml:space="preserve">yes / yes</w:t>
            </w:r>
          </w:p>
        </w:tc>
      </w:tr>
      <w:tr>
        <w:tc>
          <w:tcPr/>
          <w:p>
            <w:pPr>
              <w:pStyle w:val="Compact"/>
              <w:jc w:val="left"/>
            </w:pPr>
            <w:r>
              <w:t xml:space="preserve">slr0043</w:t>
            </w:r>
          </w:p>
        </w:tc>
        <w:tc>
          <w:tcPr/>
          <w:p>
            <w:pPr>
              <w:pStyle w:val="Compact"/>
              <w:jc w:val="left"/>
            </w:pPr>
            <w:r>
              <w:t xml:space="preserve">cmpC</w:t>
            </w:r>
          </w:p>
        </w:tc>
        <w:tc>
          <w:tcPr/>
          <w:p>
            <w:pPr>
              <w:pStyle w:val="Compact"/>
              <w:jc w:val="left"/>
            </w:pPr>
            <w:r>
              <w:t xml:space="preserve">BCT1 HCO3- transporter</w:t>
            </w:r>
          </w:p>
        </w:tc>
        <w:tc>
          <w:tcPr/>
          <w:p>
            <w:pPr>
              <w:pStyle w:val="Compact"/>
              <w:jc w:val="left"/>
            </w:pPr>
            <w:r>
              <w:t xml:space="preserve">nrtC; nitrate transport protein; NrtC</w:t>
            </w:r>
          </w:p>
        </w:tc>
        <w:tc>
          <w:tcPr/>
          <w:p>
            <w:pPr>
              <w:pStyle w:val="Compact"/>
              <w:jc w:val="left"/>
            </w:pPr>
            <w:r>
              <w:t xml:space="preserve">Q55462 (cmpC slr0043)</w:t>
            </w:r>
          </w:p>
        </w:tc>
        <w:tc>
          <w:tcPr/>
          <w:p>
            <w:pPr>
              <w:pStyle w:val="Compact"/>
              <w:jc w:val="left"/>
            </w:pPr>
            <w:r>
              <w:t xml:space="preserve">3.11</w:t>
            </w:r>
          </w:p>
        </w:tc>
        <w:tc>
          <w:tcPr/>
          <w:p>
            <w:pPr>
              <w:pStyle w:val="Compact"/>
              <w:jc w:val="left"/>
            </w:pPr>
            <w:r>
              <w:t xml:space="preserve">3.46</w:t>
            </w:r>
          </w:p>
        </w:tc>
        <w:tc>
          <w:tcPr/>
          <w:p>
            <w:pPr>
              <w:pStyle w:val="Compact"/>
              <w:jc w:val="left"/>
            </w:pPr>
            <w:r>
              <w:t xml:space="preserve">yes / yes</w:t>
            </w:r>
          </w:p>
        </w:tc>
      </w:tr>
      <w:tr>
        <w:tc>
          <w:tcPr/>
          <w:p>
            <w:pPr>
              <w:pStyle w:val="Compact"/>
              <w:jc w:val="left"/>
            </w:pPr>
            <w:r>
              <w:t xml:space="preserve">slr0044</w:t>
            </w:r>
          </w:p>
        </w:tc>
        <w:tc>
          <w:tcPr/>
          <w:p>
            <w:pPr>
              <w:pStyle w:val="Compact"/>
              <w:jc w:val="left"/>
            </w:pPr>
            <w:r>
              <w:t xml:space="preserve">cmpD</w:t>
            </w:r>
          </w:p>
        </w:tc>
        <w:tc>
          <w:tcPr/>
          <w:p>
            <w:pPr>
              <w:pStyle w:val="Compact"/>
              <w:jc w:val="left"/>
            </w:pPr>
            <w:r>
              <w:t xml:space="preserve">BCT1 HCO3- transporter</w:t>
            </w:r>
          </w:p>
        </w:tc>
        <w:tc>
          <w:tcPr/>
          <w:p>
            <w:pPr>
              <w:pStyle w:val="Compact"/>
              <w:jc w:val="left"/>
            </w:pPr>
            <w:r>
              <w:t xml:space="preserve">nrtD; nitrate transport protein; NrtD</w:t>
            </w:r>
          </w:p>
        </w:tc>
        <w:tc>
          <w:tcPr/>
          <w:p>
            <w:pPr>
              <w:pStyle w:val="Compact"/>
              <w:jc w:val="left"/>
            </w:pPr>
            <w:r>
              <w:t xml:space="preserve">Q55463 (cmpD slr0044)</w:t>
            </w:r>
          </w:p>
        </w:tc>
        <w:tc>
          <w:tcPr/>
          <w:p>
            <w:pPr>
              <w:pStyle w:val="Compact"/>
              <w:jc w:val="left"/>
            </w:pPr>
            <w:r>
              <w:t xml:space="preserve">2.23</w:t>
            </w:r>
          </w:p>
        </w:tc>
        <w:tc>
          <w:tcPr/>
          <w:p>
            <w:pPr>
              <w:pStyle w:val="Compact"/>
              <w:jc w:val="left"/>
            </w:pPr>
            <w:r>
              <w:t xml:space="preserve">3.22</w:t>
            </w:r>
          </w:p>
        </w:tc>
        <w:tc>
          <w:tcPr/>
          <w:p>
            <w:pPr>
              <w:pStyle w:val="Compact"/>
              <w:jc w:val="left"/>
            </w:pPr>
            <w:r>
              <w:t xml:space="preserve">yes / yes</w:t>
            </w:r>
          </w:p>
        </w:tc>
      </w:tr>
      <w:tr>
        <w:tc>
          <w:tcPr/>
          <w:p>
            <w:pPr>
              <w:pStyle w:val="Compact"/>
              <w:jc w:val="left"/>
            </w:pPr>
            <w:r>
              <w:t xml:space="preserve">sll1732</w:t>
            </w:r>
          </w:p>
        </w:tc>
        <w:tc>
          <w:tcPr/>
          <w:p>
            <w:pPr>
              <w:pStyle w:val="Compact"/>
              <w:jc w:val="left"/>
            </w:pPr>
            <w:r>
              <w:t xml:space="preserve">ndhF3</w:t>
            </w:r>
          </w:p>
        </w:tc>
        <w:tc>
          <w:tcPr/>
          <w:p>
            <w:pPr>
              <w:pStyle w:val="Compact"/>
              <w:jc w:val="left"/>
            </w:pPr>
            <w:r>
              <w:t xml:space="preserve">NDH-1(3) CO2 uptake complex</w:t>
            </w:r>
          </w:p>
        </w:tc>
        <w:tc>
          <w:tcPr/>
          <w:p>
            <w:pPr>
              <w:pStyle w:val="Compact"/>
              <w:jc w:val="left"/>
            </w:pPr>
            <w:r>
              <w:t xml:space="preserve">ndhF; NADH dehydrogenase subunit 5</w:t>
            </w:r>
          </w:p>
        </w:tc>
        <w:tc>
          <w:tcPr/>
          <w:p>
            <w:pPr>
              <w:pStyle w:val="Compact"/>
              <w:jc w:val="left"/>
            </w:pPr>
            <w:r>
              <w:t xml:space="preserve">P73395 (ndhF)</w:t>
            </w:r>
          </w:p>
        </w:tc>
        <w:tc>
          <w:tcPr/>
          <w:p>
            <w:pPr>
              <w:pStyle w:val="Compact"/>
              <w:jc w:val="left"/>
            </w:pPr>
            <w:r>
              <w:t xml:space="preserve">3.00</w:t>
            </w:r>
          </w:p>
        </w:tc>
        <w:tc>
          <w:tcPr/>
          <w:p>
            <w:pPr>
              <w:pStyle w:val="Compact"/>
              <w:jc w:val="left"/>
            </w:pPr>
            <w:r>
              <w:t xml:space="preserve">3.41</w:t>
            </w:r>
          </w:p>
        </w:tc>
        <w:tc>
          <w:tcPr/>
          <w:p>
            <w:pPr>
              <w:pStyle w:val="Compact"/>
              <w:jc w:val="left"/>
            </w:pPr>
            <w:r>
              <w:t xml:space="preserve">yes / yes</w:t>
            </w:r>
          </w:p>
        </w:tc>
      </w:tr>
      <w:tr>
        <w:tc>
          <w:tcPr/>
          <w:p>
            <w:pPr>
              <w:pStyle w:val="Compact"/>
              <w:jc w:val="left"/>
            </w:pPr>
            <w:r>
              <w:t xml:space="preserve">sll1733</w:t>
            </w:r>
          </w:p>
        </w:tc>
        <w:tc>
          <w:tcPr/>
          <w:p>
            <w:pPr>
              <w:pStyle w:val="Compact"/>
              <w:jc w:val="left"/>
            </w:pPr>
            <w:r>
              <w:t xml:space="preserve">ndhD3</w:t>
            </w:r>
          </w:p>
        </w:tc>
        <w:tc>
          <w:tcPr/>
          <w:p>
            <w:pPr>
              <w:pStyle w:val="Compact"/>
              <w:jc w:val="left"/>
            </w:pPr>
            <w:r>
              <w:t xml:space="preserve">NDH-1(3) CO2 uptake complex</w:t>
            </w:r>
          </w:p>
        </w:tc>
        <w:tc>
          <w:tcPr/>
          <w:p>
            <w:pPr>
              <w:pStyle w:val="Compact"/>
              <w:jc w:val="left"/>
            </w:pPr>
            <w:r>
              <w:t xml:space="preserve">ndhD3; NADH dehydrogenase subunit 4</w:t>
            </w:r>
          </w:p>
        </w:tc>
        <w:tc>
          <w:tcPr/>
          <w:p>
            <w:pPr>
              <w:pStyle w:val="Compact"/>
              <w:jc w:val="left"/>
            </w:pPr>
            <w:r>
              <w:t xml:space="preserve">P73394 (ndhD3)</w:t>
            </w:r>
          </w:p>
        </w:tc>
        <w:tc>
          <w:tcPr/>
          <w:p>
            <w:pPr>
              <w:pStyle w:val="Compact"/>
              <w:jc w:val="left"/>
            </w:pPr>
            <w:r>
              <w:t xml:space="preserve">3.41</w:t>
            </w:r>
          </w:p>
        </w:tc>
        <w:tc>
          <w:tcPr/>
          <w:p>
            <w:pPr>
              <w:pStyle w:val="Compact"/>
              <w:jc w:val="left"/>
            </w:pPr>
            <w:r>
              <w:t xml:space="preserve">4.07</w:t>
            </w:r>
          </w:p>
        </w:tc>
        <w:tc>
          <w:tcPr/>
          <w:p>
            <w:pPr>
              <w:pStyle w:val="Compact"/>
              <w:jc w:val="left"/>
            </w:pPr>
            <w:r>
              <w:t xml:space="preserve">yes / yes</w:t>
            </w:r>
          </w:p>
        </w:tc>
      </w:tr>
      <w:tr>
        <w:tc>
          <w:tcPr/>
          <w:p>
            <w:pPr>
              <w:pStyle w:val="Compact"/>
              <w:jc w:val="left"/>
            </w:pPr>
            <w:r>
              <w:t xml:space="preserve">sll1734</w:t>
            </w:r>
          </w:p>
        </w:tc>
        <w:tc>
          <w:tcPr/>
          <w:p>
            <w:pPr>
              <w:pStyle w:val="Compact"/>
              <w:jc w:val="left"/>
            </w:pPr>
            <w:r>
              <w:t xml:space="preserve">cupA</w:t>
            </w:r>
          </w:p>
        </w:tc>
        <w:tc>
          <w:tcPr/>
          <w:p>
            <w:pPr>
              <w:pStyle w:val="Compact"/>
              <w:jc w:val="left"/>
            </w:pPr>
            <w:r>
              <w:t xml:space="preserve">NDH-1(3) CO2 uptake complex</w:t>
            </w:r>
          </w:p>
        </w:tc>
        <w:tc>
          <w:tcPr/>
          <w:p>
            <w:pPr>
              <w:pStyle w:val="Compact"/>
              <w:jc w:val="left"/>
            </w:pPr>
            <w:r>
              <w:t xml:space="preserve">unknown protein</w:t>
            </w:r>
          </w:p>
        </w:tc>
        <w:tc>
          <w:tcPr/>
          <w:p>
            <w:pPr>
              <w:pStyle w:val="Compact"/>
              <w:jc w:val="left"/>
            </w:pPr>
            <w:r>
              <w:t xml:space="preserve">P73393 (sll1734)</w:t>
            </w:r>
          </w:p>
        </w:tc>
        <w:tc>
          <w:tcPr/>
          <w:p>
            <w:pPr>
              <w:pStyle w:val="Compact"/>
              <w:jc w:val="left"/>
            </w:pPr>
            <w:r>
              <w:t xml:space="preserve">2.92</w:t>
            </w:r>
          </w:p>
        </w:tc>
        <w:tc>
          <w:tcPr/>
          <w:p>
            <w:pPr>
              <w:pStyle w:val="Compact"/>
              <w:jc w:val="left"/>
            </w:pPr>
            <w:r>
              <w:t xml:space="preserve">3.63</w:t>
            </w:r>
          </w:p>
        </w:tc>
        <w:tc>
          <w:tcPr/>
          <w:p>
            <w:pPr>
              <w:pStyle w:val="Compact"/>
              <w:jc w:val="left"/>
            </w:pPr>
            <w:r>
              <w:t xml:space="preserve">yes / yes</w:t>
            </w:r>
          </w:p>
        </w:tc>
      </w:tr>
      <w:tr>
        <w:tc>
          <w:tcPr/>
          <w:p>
            <w:pPr>
              <w:pStyle w:val="Compact"/>
              <w:jc w:val="left"/>
            </w:pPr>
            <w:r>
              <w:t xml:space="preserve">sll0217</w:t>
            </w:r>
          </w:p>
        </w:tc>
        <w:tc>
          <w:tcPr/>
          <w:p>
            <w:pPr>
              <w:pStyle w:val="Compact"/>
              <w:jc w:val="left"/>
            </w:pPr>
            <w:r>
              <w:t xml:space="preserve">flv4</w:t>
            </w:r>
          </w:p>
        </w:tc>
        <w:tc>
          <w:tcPr/>
          <w:p>
            <w:pPr>
              <w:pStyle w:val="Compact"/>
              <w:jc w:val="left"/>
            </w:pPr>
            <w:r>
              <w:t xml:space="preserve">flv4-2 operon</w:t>
            </w:r>
          </w:p>
        </w:tc>
        <w:tc>
          <w:tcPr/>
          <w:p>
            <w:pPr>
              <w:pStyle w:val="Compact"/>
              <w:jc w:val="left"/>
            </w:pPr>
            <w:r>
              <w:t xml:space="preserve">potential FMN-protein</w:t>
            </w:r>
          </w:p>
        </w:tc>
        <w:tc>
          <w:tcPr/>
          <w:p>
            <w:pPr>
              <w:pStyle w:val="Compact"/>
              <w:jc w:val="left"/>
            </w:pPr>
            <w:r>
              <w:t xml:space="preserve">P72723 (dfa2 sll0217)</w:t>
            </w:r>
          </w:p>
        </w:tc>
        <w:tc>
          <w:tcPr/>
          <w:p>
            <w:pPr>
              <w:pStyle w:val="Compact"/>
              <w:jc w:val="left"/>
            </w:pPr>
            <w:r>
              <w:t xml:space="preserve">3.02</w:t>
            </w:r>
          </w:p>
        </w:tc>
        <w:tc>
          <w:tcPr/>
          <w:p>
            <w:pPr>
              <w:pStyle w:val="Compact"/>
              <w:jc w:val="left"/>
            </w:pPr>
            <w:r>
              <w:t xml:space="preserve">3.70</w:t>
            </w:r>
          </w:p>
        </w:tc>
        <w:tc>
          <w:tcPr/>
          <w:p>
            <w:pPr>
              <w:pStyle w:val="Compact"/>
              <w:jc w:val="left"/>
            </w:pPr>
            <w:r>
              <w:t xml:space="preserve">yes / yes</w:t>
            </w:r>
          </w:p>
        </w:tc>
      </w:tr>
      <w:tr>
        <w:tc>
          <w:tcPr/>
          <w:p>
            <w:pPr>
              <w:pStyle w:val="Compact"/>
              <w:jc w:val="left"/>
            </w:pPr>
            <w:r>
              <w:t xml:space="preserve">sll0218</w:t>
            </w:r>
          </w:p>
        </w:tc>
        <w:tc>
          <w:tcPr/>
          <w:p>
            <w:pPr>
              <w:pStyle w:val="Compact"/>
              <w:jc w:val="left"/>
            </w:pPr>
            <w:r>
              <w:t xml:space="preserve">sll0218</w:t>
            </w:r>
          </w:p>
        </w:tc>
        <w:tc>
          <w:tcPr/>
          <w:p>
            <w:pPr>
              <w:pStyle w:val="Compact"/>
              <w:jc w:val="left"/>
            </w:pPr>
            <w:r>
              <w:t xml:space="preserve">flv4-2 operon</w:t>
            </w:r>
          </w:p>
        </w:tc>
        <w:tc>
          <w:tcPr/>
          <w:p>
            <w:pPr>
              <w:pStyle w:val="Compact"/>
              <w:jc w:val="left"/>
            </w:pPr>
            <w:r>
              <w:t xml:space="preserve">unknown protein</w:t>
            </w:r>
          </w:p>
        </w:tc>
        <w:tc>
          <w:tcPr/>
          <w:p>
            <w:pPr>
              <w:pStyle w:val="Compact"/>
              <w:jc w:val="left"/>
            </w:pPr>
            <w:r>
              <w:t xml:space="preserve">P72722 (sll0218)</w:t>
            </w:r>
          </w:p>
        </w:tc>
        <w:tc>
          <w:tcPr/>
          <w:p>
            <w:pPr>
              <w:pStyle w:val="Compact"/>
              <w:jc w:val="left"/>
            </w:pPr>
            <w:r>
              <w:t xml:space="preserve">3.91</w:t>
            </w:r>
          </w:p>
        </w:tc>
        <w:tc>
          <w:tcPr/>
          <w:p>
            <w:pPr>
              <w:pStyle w:val="Compact"/>
              <w:jc w:val="left"/>
            </w:pPr>
            <w:r>
              <w:t xml:space="preserve">4.99</w:t>
            </w:r>
          </w:p>
        </w:tc>
        <w:tc>
          <w:tcPr/>
          <w:p>
            <w:pPr>
              <w:pStyle w:val="Compact"/>
              <w:jc w:val="left"/>
            </w:pPr>
            <w:r>
              <w:t xml:space="preserve">yes / yes</w:t>
            </w:r>
          </w:p>
        </w:tc>
      </w:tr>
      <w:tr>
        <w:tc>
          <w:tcPr/>
          <w:p>
            <w:pPr>
              <w:pStyle w:val="Compact"/>
              <w:jc w:val="left"/>
            </w:pPr>
            <w:r>
              <w:t xml:space="preserve">sll0219</w:t>
            </w:r>
          </w:p>
        </w:tc>
        <w:tc>
          <w:tcPr/>
          <w:p>
            <w:pPr>
              <w:pStyle w:val="Compact"/>
              <w:jc w:val="left"/>
            </w:pPr>
            <w:r>
              <w:t xml:space="preserve">flv2</w:t>
            </w:r>
          </w:p>
        </w:tc>
        <w:tc>
          <w:tcPr/>
          <w:p>
            <w:pPr>
              <w:pStyle w:val="Compact"/>
              <w:jc w:val="left"/>
            </w:pPr>
            <w:r>
              <w:t xml:space="preserve">flv4-2 operon</w:t>
            </w:r>
          </w:p>
        </w:tc>
        <w:tc>
          <w:tcPr/>
          <w:p>
            <w:pPr>
              <w:pStyle w:val="Compact"/>
              <w:jc w:val="left"/>
            </w:pPr>
            <w:r>
              <w:t xml:space="preserve">potential FMN-protein</w:t>
            </w:r>
          </w:p>
        </w:tc>
        <w:tc>
          <w:tcPr/>
          <w:p>
            <w:pPr>
              <w:pStyle w:val="Compact"/>
              <w:jc w:val="left"/>
            </w:pPr>
            <w:r>
              <w:t xml:space="preserve">P72721 (dfa4 sll0219)</w:t>
            </w:r>
          </w:p>
        </w:tc>
        <w:tc>
          <w:tcPr/>
          <w:p>
            <w:pPr>
              <w:pStyle w:val="Compact"/>
              <w:jc w:val="left"/>
            </w:pPr>
            <w:r>
              <w:t xml:space="preserve">3.88</w:t>
            </w:r>
          </w:p>
        </w:tc>
        <w:tc>
          <w:tcPr/>
          <w:p>
            <w:pPr>
              <w:pStyle w:val="Compact"/>
              <w:jc w:val="left"/>
            </w:pPr>
            <w:r>
              <w:t xml:space="preserve">5.08</w:t>
            </w:r>
          </w:p>
        </w:tc>
        <w:tc>
          <w:tcPr/>
          <w:p>
            <w:pPr>
              <w:pStyle w:val="Compact"/>
              <w:jc w:val="left"/>
            </w:pPr>
            <w:r>
              <w:t xml:space="preserve">yes / yes</w:t>
            </w:r>
          </w:p>
        </w:tc>
      </w:tr>
    </w:tbl>
    <w:p>
      <w:pPr>
        <w:pStyle w:val="BodyText"/>
      </w:pPr>
      <w:r>
        <w:rPr>
          <w:bCs/>
          <w:b/>
        </w:rPr>
        <w:t xml:space="preserve">Functional enrichment.</w:t>
      </w:r>
      <w:r>
        <w:t xml:space="preserve"> </w:t>
      </w:r>
      <w:r>
        <w:t xml:space="preserve">The up-regulated meta-DEGs were tested against all tested genes with STRING and KEGG (Tables S8 and S9). LC_24h vs HC: 1075 up-regulated DEGs; STRING functional enrichment (STRING version 12.0); organism: Synechocystis sp. PCC6803 (1148); background: all 3358 tested genes (3117 recognised by STRING). LC_3h vs HC: 466 up-regulated DEGs; STRING functional enrichment (STRING version 12.0); organism: Synechocystis sp. PCC6803 (1148); background: all 3358 tested genes (3117 recognised by STRING).</w:t>
      </w:r>
    </w:p>
    <w:p>
      <w:pPr>
        <w:pStyle w:val="TableCaption"/>
      </w:pPr>
      <w:r>
        <w:t xml:space="preserve">Table S8. STRING enrichment of the up-regulated meta-DEGs (top 10 terms by FDR, publications excluded).</w:t>
      </w:r>
    </w:p>
    <w:tbl>
      <w:tblPr>
        <w:tblStyle w:val="Table"/>
        <w:tblW w:type="pct" w:w="5000"/>
        <w:tblLook w:firstRow="1" w:lastRow="0" w:firstColumn="0" w:lastColumn="0" w:noHBand="0" w:noVBand="0" w:val="0020"/>
        <w:jc w:val="start"/>
        <w:tblCaption w:val="Table S8. STRING enrichment of the up-regulated meta-DEGs (top 10 terms by FDR, publications excluded)."/>
      </w:tblPr>
      <w:tblGrid>
        <w:gridCol w:w="686"/>
        <w:gridCol w:w="950"/>
        <w:gridCol w:w="5860"/>
        <w:gridCol w:w="422"/>
      </w:tblGrid>
      <w:tr>
        <w:trPr>
          <w:tblHeader w:val="true"/>
        </w:trPr>
        <w:tc>
          <w:tcPr/>
          <w:p>
            <w:pPr>
              <w:pStyle w:val="Compact"/>
              <w:jc w:val="left"/>
            </w:pPr>
            <w:r>
              <w:t xml:space="preserve">Comparison</w:t>
            </w:r>
          </w:p>
        </w:tc>
        <w:tc>
          <w:tcPr/>
          <w:p>
            <w:pPr>
              <w:pStyle w:val="Compact"/>
              <w:jc w:val="left"/>
            </w:pPr>
            <w:r>
              <w:t xml:space="preserve">Category</w:t>
            </w:r>
          </w:p>
        </w:tc>
        <w:tc>
          <w:tcPr/>
          <w:p>
            <w:pPr>
              <w:pStyle w:val="Compact"/>
              <w:jc w:val="left"/>
            </w:pPr>
            <w:r>
              <w:t xml:space="preserve">Term</w:t>
            </w:r>
          </w:p>
        </w:tc>
        <w:tc>
          <w:tcPr/>
          <w:p>
            <w:pPr>
              <w:pStyle w:val="Compact"/>
              <w:jc w:val="left"/>
            </w:pPr>
            <w:r>
              <w:t xml:space="preserve">FDR</w:t>
            </w:r>
          </w:p>
        </w:tc>
      </w:tr>
      <w:tr>
        <w:tc>
          <w:tcPr/>
          <w:p>
            <w:pPr>
              <w:pStyle w:val="Compact"/>
              <w:jc w:val="left"/>
            </w:pPr>
            <w:r>
              <w:t xml:space="preserve">LC_24h vs HC</w:t>
            </w:r>
          </w:p>
        </w:tc>
        <w:tc>
          <w:tcPr/>
          <w:p>
            <w:pPr>
              <w:pStyle w:val="Compact"/>
              <w:jc w:val="left"/>
            </w:pPr>
            <w:r>
              <w:t xml:space="preserve">-</w:t>
            </w:r>
          </w:p>
        </w:tc>
        <w:tc>
          <w:tcPr/>
          <w:p>
            <w:pPr>
              <w:pStyle w:val="Compact"/>
              <w:jc w:val="left"/>
            </w:pPr>
            <w:r>
              <w:t xml:space="preserve">no term at FDR &lt; 0.05</w:t>
            </w:r>
          </w:p>
        </w:tc>
        <w:tc>
          <w:tcPr/>
          <w:p>
            <w:pPr>
              <w:pStyle w:val="Compact"/>
              <w:jc w:val="left"/>
            </w:pPr>
            <w:r>
              <w:t xml:space="preserve">-</w:t>
            </w:r>
          </w:p>
        </w:tc>
      </w:tr>
      <w:tr>
        <w:tc>
          <w:tcPr/>
          <w:p>
            <w:pPr>
              <w:pStyle w:val="Compact"/>
              <w:jc w:val="left"/>
            </w:pPr>
            <w:r>
              <w:t xml:space="preserve">LC_3h vs HC</w:t>
            </w:r>
          </w:p>
        </w:tc>
        <w:tc>
          <w:tcPr/>
          <w:p>
            <w:pPr>
              <w:pStyle w:val="Compact"/>
              <w:jc w:val="left"/>
            </w:pPr>
            <w:r>
              <w:t xml:space="preserve">Component</w:t>
            </w:r>
          </w:p>
        </w:tc>
        <w:tc>
          <w:tcPr/>
          <w:p>
            <w:pPr>
              <w:pStyle w:val="Compact"/>
              <w:jc w:val="left"/>
            </w:pPr>
            <w:r>
              <w:t xml:space="preserve">Membrane</w:t>
            </w:r>
          </w:p>
        </w:tc>
        <w:tc>
          <w:tcPr/>
          <w:p>
            <w:pPr>
              <w:pStyle w:val="Compact"/>
              <w:jc w:val="left"/>
            </w:pPr>
            <w:r>
              <w:t xml:space="preserve">0.00013</w:t>
            </w:r>
          </w:p>
        </w:tc>
      </w:tr>
      <w:tr>
        <w:tc>
          <w:tcPr/>
          <w:p>
            <w:pPr>
              <w:pStyle w:val="Compact"/>
              <w:jc w:val="left"/>
            </w:pPr>
            <w:r>
              <w:t xml:space="preserve">LC_3h vs HC</w:t>
            </w:r>
          </w:p>
        </w:tc>
        <w:tc>
          <w:tcPr/>
          <w:p>
            <w:pPr>
              <w:pStyle w:val="Compact"/>
              <w:jc w:val="left"/>
            </w:pPr>
            <w:r>
              <w:t xml:space="preserve">Component</w:t>
            </w:r>
          </w:p>
        </w:tc>
        <w:tc>
          <w:tcPr/>
          <w:p>
            <w:pPr>
              <w:pStyle w:val="Compact"/>
              <w:jc w:val="left"/>
            </w:pPr>
            <w:r>
              <w:t xml:space="preserve">Integral component of membrane</w:t>
            </w:r>
          </w:p>
        </w:tc>
        <w:tc>
          <w:tcPr/>
          <w:p>
            <w:pPr>
              <w:pStyle w:val="Compact"/>
              <w:jc w:val="left"/>
            </w:pPr>
            <w:r>
              <w:t xml:space="preserve">0.0016</w:t>
            </w:r>
          </w:p>
        </w:tc>
      </w:tr>
      <w:tr>
        <w:tc>
          <w:tcPr/>
          <w:p>
            <w:pPr>
              <w:pStyle w:val="Compact"/>
              <w:jc w:val="left"/>
            </w:pPr>
            <w:r>
              <w:t xml:space="preserve">LC_3h vs HC</w:t>
            </w:r>
          </w:p>
        </w:tc>
        <w:tc>
          <w:tcPr/>
          <w:p>
            <w:pPr>
              <w:pStyle w:val="Compact"/>
              <w:jc w:val="left"/>
            </w:pPr>
            <w:r>
              <w:t xml:space="preserve">NetworkNeighborAL</w:t>
            </w:r>
          </w:p>
        </w:tc>
        <w:tc>
          <w:tcPr/>
          <w:p>
            <w:pPr>
              <w:pStyle w:val="Compact"/>
              <w:jc w:val="left"/>
            </w:pPr>
            <w:r>
              <w:t xml:space="preserve">Oxidoreductase activity, acting on NAD(P)H, quinone or similar compound as acceptor, and NmrA-like family</w:t>
            </w:r>
          </w:p>
        </w:tc>
        <w:tc>
          <w:tcPr/>
          <w:p>
            <w:pPr>
              <w:pStyle w:val="Compact"/>
              <w:jc w:val="left"/>
            </w:pPr>
            <w:r>
              <w:t xml:space="preserve">0.0017</w:t>
            </w:r>
          </w:p>
        </w:tc>
      </w:tr>
      <w:tr>
        <w:tc>
          <w:tcPr/>
          <w:p>
            <w:pPr>
              <w:pStyle w:val="Compact"/>
              <w:jc w:val="left"/>
            </w:pPr>
            <w:r>
              <w:t xml:space="preserve">LC_3h vs HC</w:t>
            </w:r>
          </w:p>
        </w:tc>
        <w:tc>
          <w:tcPr/>
          <w:p>
            <w:pPr>
              <w:pStyle w:val="Compact"/>
              <w:jc w:val="left"/>
            </w:pPr>
            <w:r>
              <w:t xml:space="preserve">NetworkNeighborAL</w:t>
            </w:r>
          </w:p>
        </w:tc>
        <w:tc>
          <w:tcPr/>
          <w:p>
            <w:pPr>
              <w:pStyle w:val="Compact"/>
              <w:jc w:val="left"/>
            </w:pPr>
            <w:r>
              <w:t xml:space="preserve">Oxidoreductase activity, acting on NAD(P)H, quinone or similar compound as acceptor</w:t>
            </w:r>
          </w:p>
        </w:tc>
        <w:tc>
          <w:tcPr/>
          <w:p>
            <w:pPr>
              <w:pStyle w:val="Compact"/>
              <w:jc w:val="left"/>
            </w:pPr>
            <w:r>
              <w:t xml:space="preserve">0.0017</w:t>
            </w:r>
          </w:p>
        </w:tc>
      </w:tr>
      <w:tr>
        <w:tc>
          <w:tcPr/>
          <w:p>
            <w:pPr>
              <w:pStyle w:val="Compact"/>
              <w:jc w:val="left"/>
            </w:pPr>
            <w:r>
              <w:t xml:space="preserve">LC_3h vs HC</w:t>
            </w:r>
          </w:p>
        </w:tc>
        <w:tc>
          <w:tcPr/>
          <w:p>
            <w:pPr>
              <w:pStyle w:val="Compact"/>
              <w:jc w:val="left"/>
            </w:pPr>
            <w:r>
              <w:t xml:space="preserve">Keyword</w:t>
            </w:r>
          </w:p>
        </w:tc>
        <w:tc>
          <w:tcPr/>
          <w:p>
            <w:pPr>
              <w:pStyle w:val="Compact"/>
              <w:jc w:val="left"/>
            </w:pPr>
            <w:r>
              <w:t xml:space="preserve">Membrane</w:t>
            </w:r>
          </w:p>
        </w:tc>
        <w:tc>
          <w:tcPr/>
          <w:p>
            <w:pPr>
              <w:pStyle w:val="Compact"/>
              <w:jc w:val="left"/>
            </w:pPr>
            <w:r>
              <w:t xml:space="preserve">0.0023</w:t>
            </w:r>
          </w:p>
        </w:tc>
      </w:tr>
      <w:tr>
        <w:tc>
          <w:tcPr/>
          <w:p>
            <w:pPr>
              <w:pStyle w:val="Compact"/>
              <w:jc w:val="left"/>
            </w:pPr>
            <w:r>
              <w:t xml:space="preserve">LC_3h vs HC</w:t>
            </w:r>
          </w:p>
        </w:tc>
        <w:tc>
          <w:tcPr/>
          <w:p>
            <w:pPr>
              <w:pStyle w:val="Compact"/>
              <w:jc w:val="left"/>
            </w:pPr>
            <w:r>
              <w:t xml:space="preserve">Function</w:t>
            </w:r>
          </w:p>
        </w:tc>
        <w:tc>
          <w:tcPr/>
          <w:p>
            <w:pPr>
              <w:pStyle w:val="Compact"/>
              <w:jc w:val="left"/>
            </w:pPr>
            <w:r>
              <w:t xml:space="preserve">Quinone binding</w:t>
            </w:r>
          </w:p>
        </w:tc>
        <w:tc>
          <w:tcPr/>
          <w:p>
            <w:pPr>
              <w:pStyle w:val="Compact"/>
              <w:jc w:val="left"/>
            </w:pPr>
            <w:r>
              <w:t xml:space="preserve">0.0028</w:t>
            </w:r>
          </w:p>
        </w:tc>
      </w:tr>
      <w:tr>
        <w:tc>
          <w:tcPr/>
          <w:p>
            <w:pPr>
              <w:pStyle w:val="Compact"/>
              <w:jc w:val="left"/>
            </w:pPr>
            <w:r>
              <w:t xml:space="preserve">LC_3h vs HC</w:t>
            </w:r>
          </w:p>
        </w:tc>
        <w:tc>
          <w:tcPr/>
          <w:p>
            <w:pPr>
              <w:pStyle w:val="Compact"/>
              <w:jc w:val="left"/>
            </w:pPr>
            <w:r>
              <w:t xml:space="preserve">NetworkNeighborAL</w:t>
            </w:r>
          </w:p>
        </w:tc>
        <w:tc>
          <w:tcPr/>
          <w:p>
            <w:pPr>
              <w:pStyle w:val="Compact"/>
              <w:jc w:val="left"/>
            </w:pPr>
            <w:r>
              <w:t xml:space="preserve">Mixed, incl. NADH-ubiquinone/plastoquinone oxidoreductase chain 4L, and Proton-conducting membrane transporter</w:t>
            </w:r>
          </w:p>
        </w:tc>
        <w:tc>
          <w:tcPr/>
          <w:p>
            <w:pPr>
              <w:pStyle w:val="Compact"/>
              <w:jc w:val="left"/>
            </w:pPr>
            <w:r>
              <w:t xml:space="preserve">0.0038</w:t>
            </w:r>
          </w:p>
        </w:tc>
      </w:tr>
      <w:tr>
        <w:tc>
          <w:tcPr/>
          <w:p>
            <w:pPr>
              <w:pStyle w:val="Compact"/>
              <w:jc w:val="left"/>
            </w:pPr>
            <w:r>
              <w:t xml:space="preserve">LC_3h vs HC</w:t>
            </w:r>
          </w:p>
        </w:tc>
        <w:tc>
          <w:tcPr/>
          <w:p>
            <w:pPr>
              <w:pStyle w:val="Compact"/>
              <w:jc w:val="left"/>
            </w:pPr>
            <w:r>
              <w:t xml:space="preserve">NetworkNeighborAL</w:t>
            </w:r>
          </w:p>
        </w:tc>
        <w:tc>
          <w:tcPr/>
          <w:p>
            <w:pPr>
              <w:pStyle w:val="Compact"/>
              <w:jc w:val="left"/>
            </w:pPr>
            <w:r>
              <w:t xml:space="preserve">Oxidative phosphorylation, and Cytochrome b6f complex</w:t>
            </w:r>
          </w:p>
        </w:tc>
        <w:tc>
          <w:tcPr/>
          <w:p>
            <w:pPr>
              <w:pStyle w:val="Compact"/>
              <w:jc w:val="left"/>
            </w:pPr>
            <w:r>
              <w:t xml:space="preserve">0.0046</w:t>
            </w:r>
          </w:p>
        </w:tc>
      </w:tr>
      <w:tr>
        <w:tc>
          <w:tcPr/>
          <w:p>
            <w:pPr>
              <w:pStyle w:val="Compact"/>
              <w:jc w:val="left"/>
            </w:pPr>
            <w:r>
              <w:t xml:space="preserve">LC_3h vs HC</w:t>
            </w:r>
          </w:p>
        </w:tc>
        <w:tc>
          <w:tcPr/>
          <w:p>
            <w:pPr>
              <w:pStyle w:val="Compact"/>
              <w:jc w:val="left"/>
            </w:pPr>
            <w:r>
              <w:t xml:space="preserve">Keyword</w:t>
            </w:r>
          </w:p>
        </w:tc>
        <w:tc>
          <w:tcPr/>
          <w:p>
            <w:pPr>
              <w:pStyle w:val="Compact"/>
              <w:jc w:val="left"/>
            </w:pPr>
            <w:r>
              <w:t xml:space="preserve">Plastoquinone</w:t>
            </w:r>
          </w:p>
        </w:tc>
        <w:tc>
          <w:tcPr/>
          <w:p>
            <w:pPr>
              <w:pStyle w:val="Compact"/>
              <w:jc w:val="left"/>
            </w:pPr>
            <w:r>
              <w:t xml:space="preserve">0.0048</w:t>
            </w:r>
          </w:p>
        </w:tc>
      </w:tr>
      <w:tr>
        <w:tc>
          <w:tcPr/>
          <w:p>
            <w:pPr>
              <w:pStyle w:val="Compact"/>
              <w:jc w:val="left"/>
            </w:pPr>
            <w:r>
              <w:t xml:space="preserve">LC_3h vs HC</w:t>
            </w:r>
          </w:p>
        </w:tc>
        <w:tc>
          <w:tcPr/>
          <w:p>
            <w:pPr>
              <w:pStyle w:val="Compact"/>
              <w:jc w:val="left"/>
            </w:pPr>
            <w:r>
              <w:t xml:space="preserve">Keyword</w:t>
            </w:r>
          </w:p>
        </w:tc>
        <w:tc>
          <w:tcPr/>
          <w:p>
            <w:pPr>
              <w:pStyle w:val="Compact"/>
              <w:jc w:val="left"/>
            </w:pPr>
            <w:r>
              <w:t xml:space="preserve">Quinone</w:t>
            </w:r>
          </w:p>
        </w:tc>
        <w:tc>
          <w:tcPr/>
          <w:p>
            <w:pPr>
              <w:pStyle w:val="Compact"/>
              <w:jc w:val="left"/>
            </w:pPr>
            <w:r>
              <w:t xml:space="preserve">0.0048</w:t>
            </w:r>
          </w:p>
        </w:tc>
      </w:tr>
    </w:tbl>
    <w:p/>
    <w:p>
      <w:pPr>
        <w:pStyle w:val="TableCaption"/>
      </w:pPr>
      <w:r>
        <w:t xml:space="preserve">Table S9. KEGG pathway enrichment of the up-regulated meta-DEGs (KEGG pathway enrichment (clusterProfiler) (KEGG pathway database of 2026/10/21); organism: Synechocystis sp. PCC 6803 (syn); background: all 3358 tested genes (981 recognised by KEGG).).</w:t>
      </w:r>
    </w:p>
    <w:tbl>
      <w:tblPr>
        <w:tblStyle w:val="Table"/>
        <w:tblW w:type="auto" w:w="0"/>
        <w:tblLook w:firstRow="1" w:lastRow="0" w:firstColumn="0" w:lastColumn="0" w:noHBand="0" w:noVBand="0" w:val="0020"/>
        <w:jc w:val="start"/>
        <w:tblCaption w:val="Table S9. KEGG pathway enrichment of the up-regulated meta-DEGs (KEGG pathway enrichment (clusterProfiler) (KEGG pathway database of 2026/10/21); organism: Synechocystis sp. PCC 6803 (syn); background: all 3358 tested genes (981 recognised by KEGG).)."/>
      </w:tblPr>
      <w:tblGrid>
        <w:gridCol w:w="2640"/>
        <w:gridCol w:w="2640"/>
        <w:gridCol w:w="2640"/>
      </w:tblGrid>
      <w:tr>
        <w:trPr>
          <w:tblHeader w:val="true"/>
        </w:trPr>
        <w:tc>
          <w:tcPr/>
          <w:p>
            <w:pPr>
              <w:pStyle w:val="Compact"/>
              <w:jc w:val="left"/>
            </w:pPr>
            <w:r>
              <w:t xml:space="preserve">Comparison</w:t>
            </w:r>
          </w:p>
        </w:tc>
        <w:tc>
          <w:tcPr/>
          <w:p>
            <w:pPr>
              <w:pStyle w:val="Compact"/>
              <w:jc w:val="left"/>
            </w:pPr>
            <w:r>
              <w:t xml:space="preserve">Pathway</w:t>
            </w:r>
          </w:p>
        </w:tc>
        <w:tc>
          <w:tcPr/>
          <w:p>
            <w:pPr>
              <w:pStyle w:val="Compact"/>
              <w:jc w:val="right"/>
            </w:pPr>
            <w:r>
              <w:t xml:space="preserve">q</w:t>
            </w:r>
          </w:p>
        </w:tc>
      </w:tr>
      <w:tr>
        <w:tc>
          <w:tcPr/>
          <w:p>
            <w:pPr>
              <w:pStyle w:val="Compact"/>
              <w:jc w:val="left"/>
            </w:pPr>
            <w:r>
              <w:t xml:space="preserve">LC_24h vs HC</w:t>
            </w:r>
          </w:p>
        </w:tc>
        <w:tc>
          <w:tcPr/>
          <w:p>
            <w:pPr>
              <w:pStyle w:val="Compact"/>
              <w:jc w:val="left"/>
            </w:pPr>
            <w:r>
              <w:t xml:space="preserve">Two-component system</w:t>
            </w:r>
          </w:p>
        </w:tc>
        <w:tc>
          <w:tcPr/>
          <w:p>
            <w:pPr>
              <w:pStyle w:val="Compact"/>
              <w:jc w:val="right"/>
            </w:pPr>
            <w:r>
              <w:t xml:space="preserve">7.5e-04</w:t>
            </w:r>
          </w:p>
        </w:tc>
      </w:tr>
      <w:tr>
        <w:tc>
          <w:tcPr/>
          <w:p>
            <w:pPr>
              <w:pStyle w:val="Compact"/>
              <w:jc w:val="left"/>
            </w:pPr>
            <w:r>
              <w:t xml:space="preserve">LC_3h vs HC</w:t>
            </w:r>
          </w:p>
        </w:tc>
        <w:tc>
          <w:tcPr/>
          <w:p>
            <w:pPr>
              <w:pStyle w:val="Compact"/>
              <w:jc w:val="left"/>
            </w:pPr>
            <w:r>
              <w:t xml:space="preserve">Oxidative phosphorylation</w:t>
            </w:r>
          </w:p>
        </w:tc>
        <w:tc>
          <w:tcPr/>
          <w:p>
            <w:pPr>
              <w:pStyle w:val="Compact"/>
              <w:jc w:val="right"/>
            </w:pPr>
            <w:r>
              <w:t xml:space="preserve">5.7e-05</w:t>
            </w:r>
          </w:p>
        </w:tc>
      </w:tr>
    </w:tbl>
    <w:bookmarkEnd w:id="25"/>
    <w:bookmarkStart w:id="26" w:name="s4.-performance"/>
    <w:p>
      <w:pPr>
        <w:pStyle w:val="Heading1"/>
      </w:pPr>
      <w:r>
        <w:t xml:space="preserve">S4. Performance</w:t>
      </w:r>
    </w:p>
    <w:p>
      <w:pPr>
        <w:pStyle w:val="FirstParagraph"/>
      </w:pPr>
      <w:r>
        <w:t xml:space="preserve">Table S10 lists the computer used. Table S11 gives the run time and memory of the meta-analysis pipeline before and after the refactoring of the code, from</w:t>
      </w:r>
      <w:r>
        <w:t xml:space="preserve"> </w:t>
      </w:r>
      <w:r>
        <w:rPr>
          <w:rStyle w:val="VerbatimChar"/>
        </w:rPr>
        <w:t xml:space="preserve">dev/BENCHMARKS.md</w:t>
      </w:r>
      <w:r>
        <w:t xml:space="preserve">. In the app, the time from clicking</w:t>
      </w:r>
      <w:r>
        <w:t xml:space="preserve"> </w:t>
      </w:r>
      <w:r>
        <w:rPr>
          <w:iCs/>
          <w:i/>
        </w:rPr>
        <w:t xml:space="preserve">Load demo data</w:t>
      </w:r>
      <w:r>
        <w:t xml:space="preserve"> </w:t>
      </w:r>
      <w:r>
        <w:t xml:space="preserve">to the results was 8.9 s for the RNA-Seq demo and 4.8 s for the microarray demo (median of 3 runs, each in a new app session; Table S12).</w:t>
      </w:r>
    </w:p>
    <w:p>
      <w:pPr>
        <w:pStyle w:val="TableCaption"/>
      </w:pPr>
      <w:r>
        <w:t xml:space="preserve">Table S10. Computer and software used for the timings.</w:t>
      </w:r>
    </w:p>
    <w:tbl>
      <w:tblPr>
        <w:tblStyle w:val="Table"/>
        <w:tblW w:type="auto" w:w="0"/>
        <w:tblLook w:firstRow="1" w:lastRow="0" w:firstColumn="0" w:lastColumn="0" w:noHBand="0" w:noVBand="0" w:val="0020"/>
        <w:jc w:val="start"/>
        <w:tblCaption w:val="Table S10. Computer and software used for the timings."/>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Operating system</w:t>
            </w:r>
          </w:p>
        </w:tc>
        <w:tc>
          <w:tcPr/>
          <w:p>
            <w:pPr>
              <w:pStyle w:val="Compact"/>
              <w:jc w:val="left"/>
            </w:pPr>
            <w:r>
              <w:t xml:space="preserve">Pop!_OS 24.04 LTS</w:t>
            </w:r>
          </w:p>
        </w:tc>
      </w:tr>
      <w:tr>
        <w:tc>
          <w:tcPr/>
          <w:p>
            <w:pPr>
              <w:pStyle w:val="Compact"/>
              <w:jc w:val="left"/>
            </w:pPr>
            <w:r>
              <w:t xml:space="preserve">CPU</w:t>
            </w:r>
          </w:p>
        </w:tc>
        <w:tc>
          <w:tcPr/>
          <w:p>
            <w:pPr>
              <w:pStyle w:val="Compact"/>
              <w:jc w:val="left"/>
            </w:pPr>
            <w:r>
              <w:t xml:space="preserve">AMD Ryzen 5 220 w/ Radeon 740M Graphics</w:t>
            </w:r>
          </w:p>
        </w:tc>
      </w:tr>
      <w:tr>
        <w:tc>
          <w:tcPr/>
          <w:p>
            <w:pPr>
              <w:pStyle w:val="Compact"/>
              <w:jc w:val="left"/>
            </w:pPr>
            <w:r>
              <w:t xml:space="preserve">Logical cores</w:t>
            </w:r>
          </w:p>
        </w:tc>
        <w:tc>
          <w:tcPr/>
          <w:p>
            <w:pPr>
              <w:pStyle w:val="Compact"/>
              <w:jc w:val="left"/>
            </w:pPr>
            <w:r>
              <w:t xml:space="preserve">12</w:t>
            </w:r>
          </w:p>
        </w:tc>
      </w:tr>
      <w:tr>
        <w:tc>
          <w:tcPr/>
          <w:p>
            <w:pPr>
              <w:pStyle w:val="Compact"/>
              <w:jc w:val="left"/>
            </w:pPr>
            <w:r>
              <w:t xml:space="preserve">RAM (GB)</w:t>
            </w:r>
          </w:p>
        </w:tc>
        <w:tc>
          <w:tcPr/>
          <w:p>
            <w:pPr>
              <w:pStyle w:val="Compact"/>
              <w:jc w:val="left"/>
            </w:pPr>
            <w:r>
              <w:t xml:space="preserve">13.3</w:t>
            </w:r>
          </w:p>
        </w:tc>
      </w:tr>
      <w:tr>
        <w:tc>
          <w:tcPr/>
          <w:p>
            <w:pPr>
              <w:pStyle w:val="Compact"/>
              <w:jc w:val="left"/>
            </w:pPr>
            <w:r>
              <w:t xml:space="preserve">R</w:t>
            </w:r>
          </w:p>
        </w:tc>
        <w:tc>
          <w:tcPr/>
          <w:p>
            <w:pPr>
              <w:pStyle w:val="Compact"/>
              <w:jc w:val="left"/>
            </w:pPr>
            <w:r>
              <w:t xml:space="preserve">4.6.1</w:t>
            </w:r>
          </w:p>
        </w:tc>
      </w:tr>
      <w:tr>
        <w:tc>
          <w:tcPr/>
          <w:p>
            <w:pPr>
              <w:pStyle w:val="Compact"/>
              <w:jc w:val="left"/>
            </w:pPr>
            <w:r>
              <w:t xml:space="preserve">TranscriptMetaAnalyst</w:t>
            </w:r>
          </w:p>
        </w:tc>
        <w:tc>
          <w:tcPr/>
          <w:p>
            <w:pPr>
              <w:pStyle w:val="Compact"/>
              <w:jc w:val="left"/>
            </w:pPr>
            <w:r>
              <w:t xml:space="preserve">2.0.0</w:t>
            </w:r>
          </w:p>
        </w:tc>
      </w:tr>
      <w:tr>
        <w:tc>
          <w:tcPr/>
          <w:p>
            <w:pPr>
              <w:pStyle w:val="Compact"/>
              <w:jc w:val="left"/>
            </w:pPr>
            <w:r>
              <w:t xml:space="preserve">DESeq2</w:t>
            </w:r>
          </w:p>
        </w:tc>
        <w:tc>
          <w:tcPr/>
          <w:p>
            <w:pPr>
              <w:pStyle w:val="Compact"/>
              <w:jc w:val="left"/>
            </w:pPr>
            <w:r>
              <w:t xml:space="preserve">1.52.0</w:t>
            </w:r>
          </w:p>
        </w:tc>
      </w:tr>
      <w:tr>
        <w:tc>
          <w:tcPr/>
          <w:p>
            <w:pPr>
              <w:pStyle w:val="Compact"/>
              <w:jc w:val="left"/>
            </w:pPr>
            <w:r>
              <w:t xml:space="preserve">edgeR</w:t>
            </w:r>
          </w:p>
        </w:tc>
        <w:tc>
          <w:tcPr/>
          <w:p>
            <w:pPr>
              <w:pStyle w:val="Compact"/>
              <w:jc w:val="left"/>
            </w:pPr>
            <w:r>
              <w:t xml:space="preserve">4.10.7</w:t>
            </w:r>
          </w:p>
        </w:tc>
      </w:tr>
      <w:tr>
        <w:tc>
          <w:tcPr/>
          <w:p>
            <w:pPr>
              <w:pStyle w:val="Compact"/>
              <w:jc w:val="left"/>
            </w:pPr>
            <w:r>
              <w:t xml:space="preserve">limma</w:t>
            </w:r>
          </w:p>
        </w:tc>
        <w:tc>
          <w:tcPr/>
          <w:p>
            <w:pPr>
              <w:pStyle w:val="Compact"/>
              <w:jc w:val="left"/>
            </w:pPr>
            <w:r>
              <w:t xml:space="preserve">3.68.5</w:t>
            </w:r>
          </w:p>
        </w:tc>
      </w:tr>
      <w:tr>
        <w:tc>
          <w:tcPr/>
          <w:p>
            <w:pPr>
              <w:pStyle w:val="Compact"/>
              <w:jc w:val="left"/>
            </w:pPr>
            <w:r>
              <w:t xml:space="preserve">metaRNASeq</w:t>
            </w:r>
          </w:p>
        </w:tc>
        <w:tc>
          <w:tcPr/>
          <w:p>
            <w:pPr>
              <w:pStyle w:val="Compact"/>
              <w:jc w:val="left"/>
            </w:pPr>
            <w:r>
              <w:t xml:space="preserve">1.0.8</w:t>
            </w:r>
          </w:p>
        </w:tc>
      </w:tr>
      <w:tr>
        <w:tc>
          <w:tcPr/>
          <w:p>
            <w:pPr>
              <w:pStyle w:val="Compact"/>
              <w:jc w:val="left"/>
            </w:pPr>
            <w:r>
              <w:t xml:space="preserve">shiny</w:t>
            </w:r>
          </w:p>
        </w:tc>
        <w:tc>
          <w:tcPr/>
          <w:p>
            <w:pPr>
              <w:pStyle w:val="Compact"/>
              <w:jc w:val="left"/>
            </w:pPr>
            <w:r>
              <w:t xml:space="preserve">1.14.0</w:t>
            </w:r>
          </w:p>
        </w:tc>
      </w:tr>
    </w:tbl>
    <w:p/>
    <w:p>
      <w:pPr>
        <w:pStyle w:val="TableCaption"/>
      </w:pPr>
      <w:r>
        <w:t xml:space="preserve">Table S11. Pipeline benchmarks (dev/BENCHMARKS.md): demo (3 studies x 4 samples, 3,405 genes) and simulated data (6 studies x 6 samples, 30,000 genes). Memory is that allocated in the main R process and cannot be measured for the parallel run.</w:t>
      </w:r>
    </w:p>
    <w:tbl>
      <w:tblPr>
        <w:tblStyle w:val="Table"/>
        <w:tblW w:type="pct" w:w="5000"/>
        <w:tblLook w:firstRow="1" w:lastRow="0" w:firstColumn="0" w:lastColumn="0" w:noHBand="0" w:noVBand="0" w:val="0020"/>
        <w:jc w:val="start"/>
        <w:tblCaption w:val="Table S11. Pipeline benchmarks (dev/BENCHMARKS.md): demo (3 studies x 4 samples, 3,405 genes) and simulated data (6 studies x 6 samples, 30,000 genes). Memory is that allocated in the main R process and cannot be measured for the parallel run."/>
      </w:tblPr>
      <w:tblGrid>
        <w:gridCol w:w="910"/>
        <w:gridCol w:w="1456"/>
        <w:gridCol w:w="1092"/>
        <w:gridCol w:w="1547"/>
        <w:gridCol w:w="2002"/>
        <w:gridCol w:w="910"/>
      </w:tblGrid>
      <w:tr>
        <w:trPr>
          <w:tblHeader w:val="true"/>
        </w:trPr>
        <w:tc>
          <w:tcPr/>
          <w:p>
            <w:pPr>
              <w:pStyle w:val="Compact"/>
              <w:jc w:val="left"/>
            </w:pPr>
            <w:r>
              <w:t xml:space="preserve">Dataset</w:t>
            </w:r>
          </w:p>
        </w:tc>
        <w:tc>
          <w:tcPr/>
          <w:p>
            <w:pPr>
              <w:pStyle w:val="Compact"/>
              <w:jc w:val="left"/>
            </w:pPr>
            <w:r>
              <w:t xml:space="preserve">Pipeline</w:t>
            </w:r>
          </w:p>
        </w:tc>
        <w:tc>
          <w:tcPr/>
          <w:p>
            <w:pPr>
              <w:pStyle w:val="Compact"/>
              <w:jc w:val="left"/>
            </w:pPr>
            <w:r>
              <w:t xml:space="preserve">Median time</w:t>
            </w:r>
          </w:p>
        </w:tc>
        <w:tc>
          <w:tcPr/>
          <w:p>
            <w:pPr>
              <w:pStyle w:val="Compact"/>
              <w:jc w:val="left"/>
            </w:pPr>
            <w:r>
              <w:t xml:space="preserve">Memory allocated</w:t>
            </w:r>
          </w:p>
        </w:tc>
        <w:tc>
          <w:tcPr/>
          <w:p>
            <w:pPr>
              <w:pStyle w:val="Compact"/>
              <w:jc w:val="left"/>
            </w:pPr>
            <w:r>
              <w:t xml:space="preserve">Result kept in memory</w:t>
            </w:r>
          </w:p>
        </w:tc>
        <w:tc>
          <w:tcPr/>
          <w:p>
            <w:pPr>
              <w:pStyle w:val="Compact"/>
              <w:jc w:val="left"/>
            </w:pPr>
            <w:r>
              <w:t xml:space="preserve">Meta-DEGs</w:t>
            </w:r>
          </w:p>
        </w:tc>
      </w:tr>
      <w:tr>
        <w:tc>
          <w:tcPr/>
          <w:p>
            <w:pPr>
              <w:pStyle w:val="Compact"/>
              <w:jc w:val="left"/>
            </w:pPr>
            <w:r>
              <w:t xml:space="preserve">Demo</w:t>
            </w:r>
          </w:p>
        </w:tc>
        <w:tc>
          <w:tcPr/>
          <w:p>
            <w:pPr>
              <w:pStyle w:val="Compact"/>
              <w:jc w:val="left"/>
            </w:pPr>
            <w:r>
              <w:t xml:space="preserve">before</w:t>
            </w:r>
          </w:p>
        </w:tc>
        <w:tc>
          <w:tcPr/>
          <w:p>
            <w:pPr>
              <w:pStyle w:val="Compact"/>
              <w:jc w:val="left"/>
            </w:pPr>
            <w:r>
              <w:t xml:space="preserve">3.28 s</w:t>
            </w:r>
          </w:p>
        </w:tc>
        <w:tc>
          <w:tcPr/>
          <w:p>
            <w:pPr>
              <w:pStyle w:val="Compact"/>
              <w:jc w:val="left"/>
            </w:pPr>
            <w:r>
              <w:t xml:space="preserve">533 MB</w:t>
            </w:r>
          </w:p>
        </w:tc>
        <w:tc>
          <w:tcPr/>
          <w:p>
            <w:pPr>
              <w:pStyle w:val="Compact"/>
              <w:jc w:val="left"/>
            </w:pPr>
            <w:r>
              <w:t xml:space="preserve">6.3 MB</w:t>
            </w:r>
          </w:p>
        </w:tc>
        <w:tc>
          <w:tcPr/>
          <w:p>
            <w:pPr>
              <w:pStyle w:val="Compact"/>
              <w:jc w:val="left"/>
            </w:pPr>
            <w:r>
              <w:t xml:space="preserve">373</w:t>
            </w:r>
          </w:p>
        </w:tc>
      </w:tr>
      <w:tr>
        <w:tc>
          <w:tcPr/>
          <w:p>
            <w:pPr>
              <w:pStyle w:val="Compact"/>
              <w:jc w:val="left"/>
            </w:pPr>
            <w:r>
              <w:t xml:space="preserve">Demo</w:t>
            </w:r>
          </w:p>
        </w:tc>
        <w:tc>
          <w:tcPr/>
          <w:p>
            <w:pPr>
              <w:pStyle w:val="Compact"/>
              <w:jc w:val="left"/>
            </w:pPr>
            <w:r>
              <w:t xml:space="preserve">after, serial</w:t>
            </w:r>
          </w:p>
        </w:tc>
        <w:tc>
          <w:tcPr/>
          <w:p>
            <w:pPr>
              <w:pStyle w:val="Compact"/>
              <w:jc w:val="left"/>
            </w:pPr>
            <w:r>
              <w:t xml:space="preserve">3.70 s</w:t>
            </w:r>
          </w:p>
        </w:tc>
        <w:tc>
          <w:tcPr/>
          <w:p>
            <w:pPr>
              <w:pStyle w:val="Compact"/>
              <w:jc w:val="left"/>
            </w:pPr>
            <w:r>
              <w:t xml:space="preserve">521 MB</w:t>
            </w:r>
          </w:p>
        </w:tc>
        <w:tc>
          <w:tcPr/>
          <w:p>
            <w:pPr>
              <w:pStyle w:val="Compact"/>
              <w:jc w:val="left"/>
            </w:pPr>
            <w:r>
              <w:t xml:space="preserve">2.9 MB</w:t>
            </w:r>
          </w:p>
        </w:tc>
        <w:tc>
          <w:tcPr/>
          <w:p>
            <w:pPr>
              <w:pStyle w:val="Compact"/>
              <w:jc w:val="left"/>
            </w:pPr>
            <w:r>
              <w:t xml:space="preserve">373</w:t>
            </w:r>
          </w:p>
        </w:tc>
      </w:tr>
      <w:tr>
        <w:tc>
          <w:tcPr/>
          <w:p>
            <w:pPr>
              <w:pStyle w:val="Compact"/>
              <w:jc w:val="left"/>
            </w:pPr>
            <w:r>
              <w:t xml:space="preserve">Demo</w:t>
            </w:r>
          </w:p>
        </w:tc>
        <w:tc>
          <w:tcPr/>
          <w:p>
            <w:pPr>
              <w:pStyle w:val="Compact"/>
              <w:jc w:val="left"/>
            </w:pPr>
            <w:r>
              <w:t xml:space="preserve">after, parallel</w:t>
            </w:r>
          </w:p>
        </w:tc>
        <w:tc>
          <w:tcPr/>
          <w:p>
            <w:pPr>
              <w:pStyle w:val="Compact"/>
              <w:jc w:val="left"/>
            </w:pPr>
            <w:r>
              <w:t xml:space="preserve">2.85 s</w:t>
            </w:r>
          </w:p>
        </w:tc>
        <w:tc>
          <w:tcPr/>
          <w:p>
            <w:pPr>
              <w:pStyle w:val="Compact"/>
              <w:jc w:val="left"/>
            </w:pPr>
            <w:r>
              <w:t xml:space="preserve">n/a</w:t>
            </w:r>
          </w:p>
        </w:tc>
        <w:tc>
          <w:tcPr/>
          <w:p>
            <w:pPr>
              <w:pStyle w:val="Compact"/>
              <w:jc w:val="left"/>
            </w:pPr>
            <w:r>
              <w:t xml:space="preserve">2.9 MB</w:t>
            </w:r>
          </w:p>
        </w:tc>
        <w:tc>
          <w:tcPr/>
          <w:p>
            <w:pPr>
              <w:pStyle w:val="Compact"/>
              <w:jc w:val="left"/>
            </w:pPr>
            <w:r>
              <w:t xml:space="preserve">373</w:t>
            </w:r>
          </w:p>
        </w:tc>
      </w:tr>
      <w:tr>
        <w:tc>
          <w:tcPr/>
          <w:p>
            <w:pPr>
              <w:pStyle w:val="Compact"/>
              <w:jc w:val="left"/>
            </w:pPr>
            <w:r>
              <w:t xml:space="preserve">Simulated</w:t>
            </w:r>
          </w:p>
        </w:tc>
        <w:tc>
          <w:tcPr/>
          <w:p>
            <w:pPr>
              <w:pStyle w:val="Compact"/>
              <w:jc w:val="left"/>
            </w:pPr>
            <w:r>
              <w:t xml:space="preserve">before</w:t>
            </w:r>
          </w:p>
        </w:tc>
        <w:tc>
          <w:tcPr/>
          <w:p>
            <w:pPr>
              <w:pStyle w:val="Compact"/>
              <w:jc w:val="left"/>
            </w:pPr>
            <w:r>
              <w:t xml:space="preserve">23.2 s</w:t>
            </w:r>
          </w:p>
        </w:tc>
        <w:tc>
          <w:tcPr/>
          <w:p>
            <w:pPr>
              <w:pStyle w:val="Compact"/>
              <w:jc w:val="left"/>
            </w:pPr>
            <w:r>
              <w:t xml:space="preserve">3.58 GB</w:t>
            </w:r>
          </w:p>
        </w:tc>
        <w:tc>
          <w:tcPr/>
          <w:p>
            <w:pPr>
              <w:pStyle w:val="Compact"/>
              <w:jc w:val="left"/>
            </w:pPr>
            <w:r>
              <w:t xml:space="preserve">120.9 MB</w:t>
            </w:r>
          </w:p>
        </w:tc>
        <w:tc>
          <w:tcPr/>
          <w:p>
            <w:pPr>
              <w:pStyle w:val="Compact"/>
              <w:jc w:val="left"/>
            </w:pPr>
            <w:r>
              <w:t xml:space="preserve">2,600</w:t>
            </w:r>
          </w:p>
        </w:tc>
      </w:tr>
      <w:tr>
        <w:tc>
          <w:tcPr/>
          <w:p>
            <w:pPr>
              <w:pStyle w:val="Compact"/>
              <w:jc w:val="left"/>
            </w:pPr>
            <w:r>
              <w:t xml:space="preserve">Simulated</w:t>
            </w:r>
          </w:p>
        </w:tc>
        <w:tc>
          <w:tcPr/>
          <w:p>
            <w:pPr>
              <w:pStyle w:val="Compact"/>
              <w:jc w:val="left"/>
            </w:pPr>
            <w:r>
              <w:t xml:space="preserve">after, serial</w:t>
            </w:r>
          </w:p>
        </w:tc>
        <w:tc>
          <w:tcPr/>
          <w:p>
            <w:pPr>
              <w:pStyle w:val="Compact"/>
              <w:jc w:val="left"/>
            </w:pPr>
            <w:r>
              <w:t xml:space="preserve">23.2 s</w:t>
            </w:r>
          </w:p>
        </w:tc>
        <w:tc>
          <w:tcPr/>
          <w:p>
            <w:pPr>
              <w:pStyle w:val="Compact"/>
              <w:jc w:val="left"/>
            </w:pPr>
            <w:r>
              <w:t xml:space="preserve">3.40 GB</w:t>
            </w:r>
          </w:p>
        </w:tc>
        <w:tc>
          <w:tcPr/>
          <w:p>
            <w:pPr>
              <w:pStyle w:val="Compact"/>
              <w:jc w:val="left"/>
            </w:pPr>
            <w:r>
              <w:t xml:space="preserve">44.7 MB</w:t>
            </w:r>
          </w:p>
        </w:tc>
        <w:tc>
          <w:tcPr/>
          <w:p>
            <w:pPr>
              <w:pStyle w:val="Compact"/>
              <w:jc w:val="left"/>
            </w:pPr>
            <w:r>
              <w:t xml:space="preserve">2,603</w:t>
            </w:r>
          </w:p>
        </w:tc>
      </w:tr>
      <w:tr>
        <w:tc>
          <w:tcPr/>
          <w:p>
            <w:pPr>
              <w:pStyle w:val="Compact"/>
              <w:jc w:val="left"/>
            </w:pPr>
            <w:r>
              <w:t xml:space="preserve">Simulated</w:t>
            </w:r>
          </w:p>
        </w:tc>
        <w:tc>
          <w:tcPr/>
          <w:p>
            <w:pPr>
              <w:pStyle w:val="Compact"/>
              <w:jc w:val="left"/>
            </w:pPr>
            <w:r>
              <w:t xml:space="preserve">after, parallel</w:t>
            </w:r>
          </w:p>
        </w:tc>
        <w:tc>
          <w:tcPr/>
          <w:p>
            <w:pPr>
              <w:pStyle w:val="Compact"/>
              <w:jc w:val="left"/>
            </w:pPr>
            <w:r>
              <w:t xml:space="preserve">8.34 s</w:t>
            </w:r>
          </w:p>
        </w:tc>
        <w:tc>
          <w:tcPr/>
          <w:p>
            <w:pPr>
              <w:pStyle w:val="Compact"/>
              <w:jc w:val="left"/>
            </w:pPr>
            <w:r>
              <w:t xml:space="preserve">n/a</w:t>
            </w:r>
          </w:p>
        </w:tc>
        <w:tc>
          <w:tcPr/>
          <w:p>
            <w:pPr>
              <w:pStyle w:val="Compact"/>
              <w:jc w:val="left"/>
            </w:pPr>
            <w:r>
              <w:t xml:space="preserve">44.7 MB</w:t>
            </w:r>
          </w:p>
        </w:tc>
        <w:tc>
          <w:tcPr/>
          <w:p>
            <w:pPr>
              <w:pStyle w:val="Compact"/>
              <w:jc w:val="left"/>
            </w:pPr>
            <w:r>
              <w:t xml:space="preserve">2,603</w:t>
            </w:r>
          </w:p>
        </w:tc>
      </w:tr>
    </w:tbl>
    <w:p/>
    <w:p>
      <w:pPr>
        <w:pStyle w:val="TableCaption"/>
      </w:pPr>
      <w:r>
        <w:t xml:space="preserve">Table S12. Time from clicking</w:t>
      </w:r>
      <w:r>
        <w:t xml:space="preserve"> </w:t>
      </w:r>
      <w:r>
        <w:t xml:space="preserve">‘</w:t>
      </w:r>
      <w:r>
        <w:t xml:space="preserve">Load demo data</w:t>
      </w:r>
      <w:r>
        <w:t xml:space="preserve">’</w:t>
      </w:r>
      <w:r>
        <w:t xml:space="preserve"> </w:t>
      </w:r>
      <w:r>
        <w:t xml:space="preserve">to the results in the app (headless Chrome, a new app session per run; includes the analysis in a background process and the drawing of the results).</w:t>
      </w:r>
    </w:p>
    <w:tbl>
      <w:tblPr>
        <w:tblStyle w:val="Table"/>
        <w:tblW w:type="auto" w:w="0"/>
        <w:tblLook w:firstRow="1" w:lastRow="0" w:firstColumn="0" w:lastColumn="0" w:noHBand="0" w:noVBand="0" w:val="0020"/>
        <w:jc w:val="start"/>
        <w:tblCaption w:val="Table S12. Time from clicking ‘Load demo data’ to the results in the app (headless Chrome, a new app session per run; includes the analysis in a background process and the drawing of the results)."/>
      </w:tblPr>
      <w:tblGrid>
        <w:gridCol w:w="2640"/>
        <w:gridCol w:w="2640"/>
        <w:gridCol w:w="2640"/>
      </w:tblGrid>
      <w:tr>
        <w:trPr>
          <w:tblHeader w:val="true"/>
        </w:trPr>
        <w:tc>
          <w:tcPr/>
          <w:p>
            <w:pPr>
              <w:pStyle w:val="Compact"/>
              <w:jc w:val="right"/>
            </w:pPr>
            <w:r>
              <w:t xml:space="preserve">Run</w:t>
            </w:r>
          </w:p>
        </w:tc>
        <w:tc>
          <w:tcPr/>
          <w:p>
            <w:pPr>
              <w:pStyle w:val="Compact"/>
              <w:jc w:val="left"/>
            </w:pPr>
            <w:r>
              <w:t xml:space="preserve">RNA-Seq demo (s)</w:t>
            </w:r>
          </w:p>
        </w:tc>
        <w:tc>
          <w:tcPr/>
          <w:p>
            <w:pPr>
              <w:pStyle w:val="Compact"/>
              <w:jc w:val="left"/>
            </w:pPr>
            <w:r>
              <w:t xml:space="preserve">Microarray demo (s)</w:t>
            </w:r>
          </w:p>
        </w:tc>
      </w:tr>
      <w:tr>
        <w:tc>
          <w:tcPr/>
          <w:p>
            <w:pPr>
              <w:pStyle w:val="Compact"/>
              <w:jc w:val="right"/>
            </w:pPr>
            <w:r>
              <w:t xml:space="preserve">1</w:t>
            </w:r>
          </w:p>
        </w:tc>
        <w:tc>
          <w:tcPr/>
          <w:p>
            <w:pPr>
              <w:pStyle w:val="Compact"/>
              <w:jc w:val="left"/>
            </w:pPr>
            <w:r>
              <w:t xml:space="preserve">8.9</w:t>
            </w:r>
          </w:p>
        </w:tc>
        <w:tc>
          <w:tcPr/>
          <w:p>
            <w:pPr>
              <w:pStyle w:val="Compact"/>
              <w:jc w:val="left"/>
            </w:pPr>
            <w:r>
              <w:t xml:space="preserve">4.8</w:t>
            </w:r>
          </w:p>
        </w:tc>
      </w:tr>
      <w:tr>
        <w:tc>
          <w:tcPr/>
          <w:p>
            <w:pPr>
              <w:pStyle w:val="Compact"/>
              <w:jc w:val="right"/>
            </w:pPr>
            <w:r>
              <w:t xml:space="preserve">2</w:t>
            </w:r>
          </w:p>
        </w:tc>
        <w:tc>
          <w:tcPr/>
          <w:p>
            <w:pPr>
              <w:pStyle w:val="Compact"/>
              <w:jc w:val="left"/>
            </w:pPr>
            <w:r>
              <w:t xml:space="preserve">8.6</w:t>
            </w:r>
          </w:p>
        </w:tc>
        <w:tc>
          <w:tcPr/>
          <w:p>
            <w:pPr>
              <w:pStyle w:val="Compact"/>
              <w:jc w:val="left"/>
            </w:pPr>
            <w:r>
              <w:t xml:space="preserve">5.3</w:t>
            </w:r>
          </w:p>
        </w:tc>
      </w:tr>
      <w:tr>
        <w:tc>
          <w:tcPr/>
          <w:p>
            <w:pPr>
              <w:pStyle w:val="Compact"/>
              <w:jc w:val="right"/>
            </w:pPr>
            <w:r>
              <w:t xml:space="preserve">3</w:t>
            </w:r>
          </w:p>
        </w:tc>
        <w:tc>
          <w:tcPr/>
          <w:p>
            <w:pPr>
              <w:pStyle w:val="Compact"/>
              <w:jc w:val="left"/>
            </w:pPr>
            <w:r>
              <w:t xml:space="preserve">9.6</w:t>
            </w:r>
          </w:p>
        </w:tc>
        <w:tc>
          <w:tcPr/>
          <w:p>
            <w:pPr>
              <w:pStyle w:val="Compact"/>
              <w:jc w:val="left"/>
            </w:pPr>
            <w:r>
              <w:t xml:space="preserve">4.8</w:t>
            </w:r>
          </w:p>
        </w:tc>
      </w:tr>
    </w:tbl>
    <w:bookmarkEnd w:id="26"/>
    <w:bookmarkStart w:id="27" w:name="s5.-the-ready-to-run-analysis-bundle"/>
    <w:p>
      <w:pPr>
        <w:pStyle w:val="Heading1"/>
      </w:pPr>
      <w:r>
        <w:t xml:space="preserve">S5. The ready-to-run analysis bundle</w:t>
      </w:r>
    </w:p>
    <w:p>
      <w:pPr>
        <w:pStyle w:val="FirstParagraph"/>
      </w:pPr>
      <w:r>
        <w:t xml:space="preserve">After an analysis,</w:t>
      </w:r>
      <w:r>
        <w:t xml:space="preserve"> </w:t>
      </w:r>
      <w:r>
        <w:rPr>
          <w:iCs/>
          <w:i/>
        </w:rPr>
        <w:t xml:space="preserve">Download reproducible analysis (ZIP)</w:t>
      </w:r>
      <w:r>
        <w:t xml:space="preserve"> </w:t>
      </w:r>
      <w:r>
        <w:t xml:space="preserve">in the RNA-Seq and Microarray tabs gives a bundle with the code, setup and data of that analysis, ready to run on another computer (Table S13).</w:t>
      </w:r>
      <w:r>
        <w:t xml:space="preserve"> </w:t>
      </w:r>
      <w:r>
        <w:rPr>
          <w:rStyle w:val="VerbatimChar"/>
        </w:rPr>
        <w:t xml:space="preserve">setup.R</w:t>
      </w:r>
      <w:r>
        <w:t xml:space="preserve"> </w:t>
      </w:r>
      <w:r>
        <w:t xml:space="preserve">installs the same TMA release with BiocManager and lists every package whose version differs from the original run;</w:t>
      </w:r>
      <w:r>
        <w:t xml:space="preserve"> </w:t>
      </w:r>
      <w:r>
        <w:rPr>
          <w:rStyle w:val="VerbatimChar"/>
        </w:rPr>
        <w:t xml:space="preserve">analysis.R</w:t>
      </w:r>
      <w:r>
        <w:t xml:space="preserve"> </w:t>
      </w:r>
      <w:r>
        <w:t xml:space="preserve">repeats the analysis with every setting of the run, including the plot display options of each comparison (heatmap and volcano options, figure format and size) and the enrichment choices, reads the data in</w:t>
      </w:r>
      <w:r>
        <w:t xml:space="preserve"> </w:t>
      </w:r>
      <w:r>
        <w:rPr>
          <w:rStyle w:val="VerbatimChar"/>
        </w:rPr>
        <w:t xml:space="preserve">data/</w:t>
      </w:r>
      <w:r>
        <w:t xml:space="preserve"> </w:t>
      </w:r>
      <w:r>
        <w:t xml:space="preserve">with relative paths and writes the same files as</w:t>
      </w:r>
      <w:r>
        <w:t xml:space="preserve"> </w:t>
      </w:r>
      <w:r>
        <w:rPr>
          <w:rStyle w:val="VerbatimChar"/>
        </w:rPr>
        <w:t xml:space="preserve">results/</w:t>
      </w:r>
      <w:r>
        <w:t xml:space="preserve"> </w:t>
      </w:r>
      <w:r>
        <w:t xml:space="preserve">to</w:t>
      </w:r>
      <w:r>
        <w:t xml:space="preserve"> </w:t>
      </w:r>
      <w:r>
        <w:rPr>
          <w:rStyle w:val="VerbatimChar"/>
        </w:rPr>
        <w:t xml:space="preserve">rerun/</w:t>
      </w:r>
      <w:r>
        <w:t xml:space="preserve">. For GEO imports, the bundle also contains the downloaded series files and the sample-to-condition mapping, so it runs offline. The example below is the bundle of the RNA-Seq demo analysis (DESeq2 + Fisher; ZIP of 606 KB). Re-running its</w:t>
      </w:r>
      <w:r>
        <w:t xml:space="preserve"> </w:t>
      </w:r>
      <w:r>
        <w:rPr>
          <w:rStyle w:val="VerbatimChar"/>
        </w:rPr>
        <w:t xml:space="preserve">analysis.R</w:t>
      </w:r>
      <w:r>
        <w:t xml:space="preserve"> </w:t>
      </w:r>
      <w:r>
        <w:t xml:space="preserve">with</w:t>
      </w:r>
      <w:r>
        <w:t xml:space="preserve"> </w:t>
      </w:r>
      <w:r>
        <w:rPr>
          <w:rStyle w:val="VerbatimChar"/>
        </w:rPr>
        <w:t xml:space="preserve">Rscript</w:t>
      </w:r>
      <w:r>
        <w:t xml:space="preserve"> </w:t>
      </w:r>
      <w:r>
        <w:t xml:space="preserve">took 11.6 s and reproduced all 6 result tables of the run exactly (6 of 6 byte-identical).</w:t>
      </w:r>
    </w:p>
    <w:p>
      <w:pPr>
        <w:pStyle w:val="TableCaption"/>
      </w:pPr>
      <w:r>
        <w:t xml:space="preserve">Table S13. Files of the example bundle (tma_analysis/).</w:t>
      </w:r>
    </w:p>
    <w:tbl>
      <w:tblPr>
        <w:tblStyle w:val="Table"/>
        <w:tblW w:type="auto" w:w="0"/>
        <w:tblLook w:firstRow="1" w:lastRow="0" w:firstColumn="0" w:lastColumn="0" w:noHBand="0" w:noVBand="0" w:val="0020"/>
        <w:jc w:val="start"/>
        <w:tblCaption w:val="Table S13. Files of the example bundle (tma_analysis/)."/>
      </w:tblPr>
      <w:tblGrid>
        <w:gridCol w:w="3960"/>
        <w:gridCol w:w="3960"/>
      </w:tblGrid>
      <w:tr>
        <w:trPr>
          <w:tblHeader w:val="true"/>
        </w:trPr>
        <w:tc>
          <w:tcPr/>
          <w:p>
            <w:pPr>
              <w:pStyle w:val="Compact"/>
              <w:jc w:val="left"/>
            </w:pPr>
            <w:r>
              <w:t xml:space="preserve">File</w:t>
            </w:r>
          </w:p>
        </w:tc>
        <w:tc>
          <w:tcPr/>
          <w:p>
            <w:pPr>
              <w:pStyle w:val="Compact"/>
              <w:jc w:val="left"/>
            </w:pPr>
            <w:r>
              <w:t xml:space="preserve">Size (KB)</w:t>
            </w:r>
          </w:p>
        </w:tc>
      </w:tr>
      <w:tr>
        <w:tc>
          <w:tcPr/>
          <w:p>
            <w:pPr>
              <w:pStyle w:val="Compact"/>
              <w:jc w:val="left"/>
            </w:pPr>
            <w:r>
              <w:t xml:space="preserve">analysis.R</w:t>
            </w:r>
          </w:p>
        </w:tc>
        <w:tc>
          <w:tcPr/>
          <w:p>
            <w:pPr>
              <w:pStyle w:val="Compact"/>
              <w:jc w:val="left"/>
            </w:pPr>
            <w:r>
              <w:t xml:space="preserve">3.0</w:t>
            </w:r>
          </w:p>
        </w:tc>
      </w:tr>
      <w:tr>
        <w:tc>
          <w:tcPr/>
          <w:p>
            <w:pPr>
              <w:pStyle w:val="Compact"/>
              <w:jc w:val="left"/>
            </w:pPr>
            <w:r>
              <w:t xml:space="preserve">data/counts.txt</w:t>
            </w:r>
          </w:p>
        </w:tc>
        <w:tc>
          <w:tcPr/>
          <w:p>
            <w:pPr>
              <w:pStyle w:val="Compact"/>
              <w:jc w:val="left"/>
            </w:pPr>
            <w:r>
              <w:t xml:space="preserve">269.6</w:t>
            </w:r>
          </w:p>
        </w:tc>
      </w:tr>
      <w:tr>
        <w:tc>
          <w:tcPr/>
          <w:p>
            <w:pPr>
              <w:pStyle w:val="Compact"/>
              <w:jc w:val="left"/>
            </w:pPr>
            <w:r>
              <w:t xml:space="preserve">data/design.txt</w:t>
            </w:r>
          </w:p>
        </w:tc>
        <w:tc>
          <w:tcPr/>
          <w:p>
            <w:pPr>
              <w:pStyle w:val="Compact"/>
              <w:jc w:val="left"/>
            </w:pPr>
            <w:r>
              <w:t xml:space="preserve">0.2</w:t>
            </w:r>
          </w:p>
        </w:tc>
      </w:tr>
      <w:tr>
        <w:tc>
          <w:tcPr/>
          <w:p>
            <w:pPr>
              <w:pStyle w:val="Compact"/>
              <w:jc w:val="left"/>
            </w:pPr>
            <w:r>
              <w:t xml:space="preserve">README.md</w:t>
            </w:r>
          </w:p>
        </w:tc>
        <w:tc>
          <w:tcPr/>
          <w:p>
            <w:pPr>
              <w:pStyle w:val="Compact"/>
              <w:jc w:val="left"/>
            </w:pPr>
            <w:r>
              <w:t xml:space="preserve">1.5</w:t>
            </w:r>
          </w:p>
        </w:tc>
      </w:tr>
      <w:tr>
        <w:tc>
          <w:tcPr/>
          <w:p>
            <w:pPr>
              <w:pStyle w:val="Compact"/>
              <w:jc w:val="left"/>
            </w:pPr>
            <w:r>
              <w:t xml:space="preserve">results/Treated_vs_Cont_A_DEGs.csv</w:t>
            </w:r>
          </w:p>
        </w:tc>
        <w:tc>
          <w:tcPr/>
          <w:p>
            <w:pPr>
              <w:pStyle w:val="Compact"/>
              <w:jc w:val="left"/>
            </w:pPr>
            <w:r>
              <w:t xml:space="preserve">32.0</w:t>
            </w:r>
          </w:p>
        </w:tc>
      </w:tr>
      <w:tr>
        <w:tc>
          <w:tcPr/>
          <w:p>
            <w:pPr>
              <w:pStyle w:val="Compact"/>
              <w:jc w:val="left"/>
            </w:pPr>
            <w:r>
              <w:t xml:space="preserve">results/Treated_vs_Cont_B_DEGs.csv</w:t>
            </w:r>
          </w:p>
        </w:tc>
        <w:tc>
          <w:tcPr/>
          <w:p>
            <w:pPr>
              <w:pStyle w:val="Compact"/>
              <w:jc w:val="left"/>
            </w:pPr>
            <w:r>
              <w:t xml:space="preserve">18.5</w:t>
            </w:r>
          </w:p>
        </w:tc>
      </w:tr>
      <w:tr>
        <w:tc>
          <w:tcPr/>
          <w:p>
            <w:pPr>
              <w:pStyle w:val="Compact"/>
              <w:jc w:val="left"/>
            </w:pPr>
            <w:r>
              <w:t xml:space="preserve">results/Treated_vs_Cont_C_DEGs.csv</w:t>
            </w:r>
          </w:p>
        </w:tc>
        <w:tc>
          <w:tcPr/>
          <w:p>
            <w:pPr>
              <w:pStyle w:val="Compact"/>
              <w:jc w:val="left"/>
            </w:pPr>
            <w:r>
              <w:t xml:space="preserve">10.4</w:t>
            </w:r>
          </w:p>
        </w:tc>
      </w:tr>
      <w:tr>
        <w:tc>
          <w:tcPr/>
          <w:p>
            <w:pPr>
              <w:pStyle w:val="Compact"/>
              <w:jc w:val="left"/>
            </w:pPr>
            <w:r>
              <w:t xml:space="preserve">results/Treated_vs_Cont_heatmap_data.csv</w:t>
            </w:r>
          </w:p>
        </w:tc>
        <w:tc>
          <w:tcPr/>
          <w:p>
            <w:pPr>
              <w:pStyle w:val="Compact"/>
              <w:jc w:val="left"/>
            </w:pPr>
            <w:r>
              <w:t xml:space="preserve">82.1</w:t>
            </w:r>
          </w:p>
        </w:tc>
      </w:tr>
      <w:tr>
        <w:tc>
          <w:tcPr/>
          <w:p>
            <w:pPr>
              <w:pStyle w:val="Compact"/>
              <w:jc w:val="left"/>
            </w:pPr>
            <w:r>
              <w:t xml:space="preserve">results/Treated_vs_Cont_heatmap.pdf</w:t>
            </w:r>
          </w:p>
        </w:tc>
        <w:tc>
          <w:tcPr/>
          <w:p>
            <w:pPr>
              <w:pStyle w:val="Compact"/>
              <w:jc w:val="left"/>
            </w:pPr>
            <w:r>
              <w:t xml:space="preserve">37.7</w:t>
            </w:r>
          </w:p>
        </w:tc>
      </w:tr>
      <w:tr>
        <w:tc>
          <w:tcPr/>
          <w:p>
            <w:pPr>
              <w:pStyle w:val="Compact"/>
              <w:jc w:val="left"/>
            </w:pPr>
            <w:r>
              <w:t xml:space="preserve">results/Treated_vs_Cont_meta_analysis_results.csv</w:t>
            </w:r>
          </w:p>
        </w:tc>
        <w:tc>
          <w:tcPr/>
          <w:p>
            <w:pPr>
              <w:pStyle w:val="Compact"/>
              <w:jc w:val="left"/>
            </w:pPr>
            <w:r>
              <w:t xml:space="preserve">215.8</w:t>
            </w:r>
          </w:p>
        </w:tc>
      </w:tr>
      <w:tr>
        <w:tc>
          <w:tcPr/>
          <w:p>
            <w:pPr>
              <w:pStyle w:val="Compact"/>
              <w:jc w:val="left"/>
            </w:pPr>
            <w:r>
              <w:t xml:space="preserve">results/Treated_vs_Cont_pca.pdf</w:t>
            </w:r>
          </w:p>
        </w:tc>
        <w:tc>
          <w:tcPr/>
          <w:p>
            <w:pPr>
              <w:pStyle w:val="Compact"/>
              <w:jc w:val="left"/>
            </w:pPr>
            <w:r>
              <w:t xml:space="preserve">5.4</w:t>
            </w:r>
          </w:p>
        </w:tc>
      </w:tr>
      <w:tr>
        <w:tc>
          <w:tcPr/>
          <w:p>
            <w:pPr>
              <w:pStyle w:val="Compact"/>
              <w:jc w:val="left"/>
            </w:pPr>
            <w:r>
              <w:t xml:space="preserve">results/Treated_vs_Cont_pdist.pdf</w:t>
            </w:r>
          </w:p>
        </w:tc>
        <w:tc>
          <w:tcPr/>
          <w:p>
            <w:pPr>
              <w:pStyle w:val="Compact"/>
              <w:jc w:val="left"/>
            </w:pPr>
            <w:r>
              <w:t xml:space="preserve">5.1</w:t>
            </w:r>
          </w:p>
        </w:tc>
      </w:tr>
      <w:tr>
        <w:tc>
          <w:tcPr/>
          <w:p>
            <w:pPr>
              <w:pStyle w:val="Compact"/>
              <w:jc w:val="left"/>
            </w:pPr>
            <w:r>
              <w:t xml:space="preserve">results/Treated_vs_Cont_upset.pdf</w:t>
            </w:r>
          </w:p>
        </w:tc>
        <w:tc>
          <w:tcPr/>
          <w:p>
            <w:pPr>
              <w:pStyle w:val="Compact"/>
              <w:jc w:val="left"/>
            </w:pPr>
            <w:r>
              <w:t xml:space="preserve">6.6</w:t>
            </w:r>
          </w:p>
        </w:tc>
      </w:tr>
      <w:tr>
        <w:tc>
          <w:tcPr/>
          <w:p>
            <w:pPr>
              <w:pStyle w:val="Compact"/>
              <w:jc w:val="left"/>
            </w:pPr>
            <w:r>
              <w:t xml:space="preserve">results/Treated_vs_Cont_venndiagram.pdf</w:t>
            </w:r>
          </w:p>
        </w:tc>
        <w:tc>
          <w:tcPr/>
          <w:p>
            <w:pPr>
              <w:pStyle w:val="Compact"/>
              <w:jc w:val="left"/>
            </w:pPr>
            <w:r>
              <w:t xml:space="preserve">7.3</w:t>
            </w:r>
          </w:p>
        </w:tc>
      </w:tr>
      <w:tr>
        <w:tc>
          <w:tcPr/>
          <w:p>
            <w:pPr>
              <w:pStyle w:val="Compact"/>
              <w:jc w:val="left"/>
            </w:pPr>
            <w:r>
              <w:t xml:space="preserve">results/Treated_vs_Cont_volcano_data.csv</w:t>
            </w:r>
          </w:p>
        </w:tc>
        <w:tc>
          <w:tcPr/>
          <w:p>
            <w:pPr>
              <w:pStyle w:val="Compact"/>
              <w:jc w:val="left"/>
            </w:pPr>
            <w:r>
              <w:t xml:space="preserve">169.7</w:t>
            </w:r>
          </w:p>
        </w:tc>
      </w:tr>
      <w:tr>
        <w:tc>
          <w:tcPr/>
          <w:p>
            <w:pPr>
              <w:pStyle w:val="Compact"/>
              <w:jc w:val="left"/>
            </w:pPr>
            <w:r>
              <w:t xml:space="preserve">results/Treated_vs_Cont_volcano_plot.pdf</w:t>
            </w:r>
          </w:p>
        </w:tc>
        <w:tc>
          <w:tcPr/>
          <w:p>
            <w:pPr>
              <w:pStyle w:val="Compact"/>
              <w:jc w:val="left"/>
            </w:pPr>
            <w:r>
              <w:t xml:space="preserve">193.5</w:t>
            </w:r>
          </w:p>
        </w:tc>
      </w:tr>
      <w:tr>
        <w:tc>
          <w:tcPr/>
          <w:p>
            <w:pPr>
              <w:pStyle w:val="Compact"/>
              <w:jc w:val="left"/>
            </w:pPr>
            <w:r>
              <w:t xml:space="preserve">session_info.txt</w:t>
            </w:r>
          </w:p>
        </w:tc>
        <w:tc>
          <w:tcPr/>
          <w:p>
            <w:pPr>
              <w:pStyle w:val="Compact"/>
              <w:jc w:val="left"/>
            </w:pPr>
            <w:r>
              <w:t xml:space="preserve">6.6</w:t>
            </w:r>
          </w:p>
        </w:tc>
      </w:tr>
      <w:tr>
        <w:tc>
          <w:tcPr/>
          <w:p>
            <w:pPr>
              <w:pStyle w:val="Compact"/>
              <w:jc w:val="left"/>
            </w:pPr>
            <w:r>
              <w:t xml:space="preserve">settings.json</w:t>
            </w:r>
          </w:p>
        </w:tc>
        <w:tc>
          <w:tcPr/>
          <w:p>
            <w:pPr>
              <w:pStyle w:val="Compact"/>
              <w:jc w:val="left"/>
            </w:pPr>
            <w:r>
              <w:t xml:space="preserve">1.1</w:t>
            </w:r>
          </w:p>
        </w:tc>
      </w:tr>
      <w:tr>
        <w:tc>
          <w:tcPr/>
          <w:p>
            <w:pPr>
              <w:pStyle w:val="Compact"/>
              <w:jc w:val="left"/>
            </w:pPr>
            <w:r>
              <w:t xml:space="preserve">setup.R</w:t>
            </w:r>
          </w:p>
        </w:tc>
        <w:tc>
          <w:tcPr/>
          <w:p>
            <w:pPr>
              <w:pStyle w:val="Compact"/>
              <w:jc w:val="left"/>
            </w:pPr>
            <w:r>
              <w:t xml:space="preserve">5.1</w:t>
            </w:r>
          </w:p>
        </w:tc>
      </w:tr>
    </w:tbl>
    <w:p>
      <w:pPr>
        <w:pStyle w:val="BodyText"/>
      </w:pPr>
      <w:r>
        <w:t xml:space="preserve">The README of the example bundle:</w:t>
      </w:r>
    </w:p>
    <w:p>
      <w:pPr>
        <w:pStyle w:val="SourceCode"/>
      </w:pPr>
      <w:r>
        <w:rPr>
          <w:rStyle w:val="VerbatimChar"/>
        </w:rPr>
        <w:t xml:space="preserve"># Reproducible TranscriptMetaAnalyst analysis</w:t>
      </w:r>
      <w:r>
        <w:br/>
      </w:r>
      <w:r>
        <w:br/>
      </w:r>
      <w:r>
        <w:rPr>
          <w:rStyle w:val="VerbatimChar"/>
        </w:rPr>
        <w:t xml:space="preserve">This folder repeats an RNA-Seq meta-analysis made with TranscriptMetaAnalyst (TMA) 2.0.0, on the demo data bundled with TranscriptMetaAnalyst, with every setting of the run.</w:t>
      </w:r>
      <w:r>
        <w:br/>
      </w:r>
      <w:r>
        <w:br/>
      </w:r>
      <w:r>
        <w:rPr>
          <w:rStyle w:val="VerbatimChar"/>
        </w:rPr>
        <w:t xml:space="preserve">## Run it</w:t>
      </w:r>
      <w:r>
        <w:br/>
      </w:r>
      <w:r>
        <w:br/>
      </w:r>
      <w:r>
        <w:rPr>
          <w:rStyle w:val="VerbatimChar"/>
        </w:rPr>
        <w:t xml:space="preserve">From this folder:</w:t>
      </w:r>
    </w:p>
    <w:p>
      <w:pPr>
        <w:pStyle w:val="FirstParagraph"/>
      </w:pPr>
      <w:r>
        <w:t xml:space="preserve">Rscript setup.R # once: installs this TMA release and checks the package versions</w:t>
      </w:r>
      <w:r>
        <w:t xml:space="preserve"> </w:t>
      </w:r>
      <w:r>
        <w:t xml:space="preserve">Rscript analysis.R # repeats the analysis and writes the results to rerun/</w:t>
      </w:r>
    </w:p>
    <w:p>
      <w:pPr>
        <w:pStyle w:val="SourceCode"/>
      </w:pPr>
      <w:r>
        <w:br/>
      </w:r>
      <w:r>
        <w:rPr>
          <w:rStyle w:val="VerbatimChar"/>
        </w:rPr>
        <w:t xml:space="preserve">Expected run time: about 1 minute (the analysis took 4 s in the app; saving the figures adds a little).</w:t>
      </w:r>
      <w:r>
        <w:br/>
      </w:r>
      <w:r>
        <w:br/>
      </w:r>
      <w:r>
        <w:rPr>
          <w:rStyle w:val="VerbatimChar"/>
        </w:rPr>
        <w:t xml:space="preserve">## Contents</w:t>
      </w:r>
      <w:r>
        <w:br/>
      </w:r>
      <w:r>
        <w:br/>
      </w:r>
      <w:r>
        <w:rPr>
          <w:rStyle w:val="VerbatimChar"/>
        </w:rPr>
        <w:t xml:space="preserve">| File | Content |</w:t>
      </w:r>
      <w:r>
        <w:br/>
      </w:r>
      <w:r>
        <w:rPr>
          <w:rStyle w:val="VerbatimChar"/>
        </w:rPr>
        <w:t xml:space="preserve">|---|---|</w:t>
      </w:r>
      <w:r>
        <w:br/>
      </w:r>
      <w:r>
        <w:rPr>
          <w:rStyle w:val="VerbatimChar"/>
        </w:rPr>
        <w:t xml:space="preserve">| `analysis.R` | The analysis with all settings of the run: analysis methods, plot display options and enrichment choices. Reads `data/`, writes `rerun/`. |</w:t>
      </w:r>
      <w:r>
        <w:br/>
      </w:r>
      <w:r>
        <w:rPr>
          <w:rStyle w:val="VerbatimChar"/>
        </w:rPr>
        <w:t xml:space="preserve">| `setup.R` | Installs the TMA release used and lists any package whose version differs from the original run. |</w:t>
      </w:r>
      <w:r>
        <w:br/>
      </w:r>
      <w:r>
        <w:rPr>
          <w:rStyle w:val="VerbatimChar"/>
        </w:rPr>
        <w:t xml:space="preserve">| `settings.json` | Every analysis and display setting, machine-readable. |</w:t>
      </w:r>
      <w:r>
        <w:br/>
      </w:r>
      <w:r>
        <w:rPr>
          <w:rStyle w:val="VerbatimChar"/>
        </w:rPr>
        <w:t xml:space="preserve">| `data/` | The input data as used in the analysis. |</w:t>
      </w:r>
      <w:r>
        <w:br/>
      </w:r>
      <w:r>
        <w:rPr>
          <w:rStyle w:val="VerbatimChar"/>
        </w:rPr>
        <w:t xml:space="preserve">| `results/` | The tables and figures of the original run. |</w:t>
      </w:r>
      <w:r>
        <w:br/>
      </w:r>
      <w:r>
        <w:rPr>
          <w:rStyle w:val="VerbatimChar"/>
        </w:rPr>
        <w:t xml:space="preserve">| `session_info.txt` | R and package versions of the original run. |</w:t>
      </w:r>
      <w:r>
        <w:br/>
      </w:r>
      <w:r>
        <w:br/>
      </w:r>
      <w:r>
        <w:rPr>
          <w:rStyle w:val="VerbatimChar"/>
        </w:rPr>
        <w:t xml:space="preserve">Comparisons: Treated vs Cont.</w:t>
      </w:r>
      <w:r>
        <w:br/>
      </w:r>
      <w:r>
        <w:br/>
      </w:r>
      <w:r>
        <w:rPr>
          <w:rStyle w:val="VerbatimChar"/>
        </w:rPr>
        <w:t xml:space="preserve">## Checking the re-run</w:t>
      </w:r>
      <w:r>
        <w:br/>
      </w:r>
      <w:r>
        <w:br/>
      </w:r>
      <w:r>
        <w:rPr>
          <w:rStyle w:val="VerbatimChar"/>
        </w:rPr>
        <w:t xml:space="preserve">`rerun/` gets the same files as `results/`. The tables (`*_meta_analysis_results.csv`, `*_DEGs.csv`, `*_heatmap_data.csv`, `*_volcano_data.csv`) should be identical when the package versions match; figures can differ in small details between systems. Enrichment results come from online services and need an internet connection; they can change when a service updates its database.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
  <cp:keywords/>
  <dcterms:created xsi:type="dcterms:W3CDTF">2026-10-22T06:50:44Z</dcterms:created>
  <dcterms:modified xsi:type="dcterms:W3CDTF">2026-10-22T06:50:44Z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TranscriptMetaAnalyst: a graphical interface for the gene-level meta-analysis of RNA-Seq and microarray studies</vt:lpwstr>
  </property>
</Properties>
</file>