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张明辉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18"/>
        </w:rPr>
        <w:t>+86 13800138000 | zhangminghui@example.com | 上海市浦东新区</w:t>
      </w:r>
    </w:p>
    <w:p>
      <w:pPr>
        <w:jc w:val="center"/>
      </w:pPr>
      <w:r>
        <w:rPr>
          <w:rFonts w:ascii="微软雅黑" w:hAnsi="微软雅黑" w:eastAsia="微软雅黑"/>
          <w:b/>
          <w:color w:val="005294"/>
          <w:sz w:val="20"/>
        </w:rPr>
        <w:t>求职意向：量化研究员 / 量化策略分析师</w:t>
      </w:r>
    </w:p>
    <w:p>
      <w:pPr>
        <w:spacing w:before="240" w:after="80"/>
      </w:pPr>
      <w:r>
        <w:rPr>
          <w:color w:val="C8C8C8"/>
          <w:sz w:val="12"/>
        </w:rPr>
        <w:t>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微软雅黑" w:hAnsi="微软雅黑" w:eastAsia="微软雅黑"/>
          <w:b/>
          <w:color w:val="005294"/>
          <w:sz w:val="24"/>
        </w:rPr>
        <w:t>教育背景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上海交通大学 硕士 2018.9–2021.7 数学科学学院/计算数学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GPA: 3.8/4.0 | 发表SCI论文2篇 | 获国家奖学金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浙江大学 学士 2014.9–2018.7 数学系/数学与应用数学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GPA: 3.7/4.0 | 优秀毕业生</w:t>
      </w:r>
    </w:p>
    <w:p>
      <w:pPr>
        <w:spacing w:before="240" w:after="80"/>
      </w:pPr>
      <w:r>
        <w:rPr>
          <w:color w:val="C8C8C8"/>
          <w:sz w:val="12"/>
        </w:rPr>
        <w:t>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微软雅黑" w:hAnsi="微软雅黑" w:eastAsia="微软雅黑"/>
          <w:b/>
          <w:color w:val="005294"/>
          <w:sz w:val="24"/>
        </w:rPr>
        <w:t>工作经历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华鑫证券 | 量化研究员 (2023.3–至今)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负责股票Alpha策略研发，年化收益率达28%，最大回撤控制在8%以内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开发多因子选股模型，涵盖量价、资金流、情绪等维度，因子IC均值0.08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搭建策略回测框架，支持分钟级数据回测，日处理数据量超10TB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实盘管理资金规模5亿，夏普比率2.3，信息比率1.8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国泰君安 | 量化分析师 (2021.8–2023.2)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参与FOF基金量化配置策略，策略年化收益15%，风险收益比优于基准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开发指数增强策略，跟踪误差控制在2%以内，超额收益年化7%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构建风控模型，实现VaR计算和压力测试，提升组合风险管理能力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优化交易执行算法，降低冲击成本约15%</w:t>
      </w:r>
    </w:p>
    <w:p>
      <w:pPr>
        <w:spacing w:before="240" w:after="80"/>
      </w:pPr>
      <w:r>
        <w:rPr>
          <w:color w:val="C8C8C8"/>
          <w:sz w:val="12"/>
        </w:rPr>
        <w:t>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微软雅黑" w:hAnsi="微软雅黑" w:eastAsia="微软雅黑"/>
          <w:b/>
          <w:color w:val="005294"/>
          <w:sz w:val="24"/>
        </w:rPr>
        <w:t>重点项目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高频交易策略开发 | 华鑫证券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设计基于机器学习的订单流预测模型，预测准确率达68%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开发做市策略，日均成交量贡献提升20%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优化滑点模型，交易成本降低12%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多因子Alpha策略体系 | 国泰君安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构建包含200+因子的因子库，实现因子自动筛选和组合优化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开发自适应因子权重调整机制，适应市场风格切换</w:t>
      </w:r>
    </w:p>
    <w:p>
      <w:pPr>
        <w:spacing w:after="40" w:line="360" w:lineRule="auto"/>
        <w:ind w:left="283"/>
      </w:pPr>
      <w:r>
        <w:rPr>
          <w:rFonts w:ascii="微软雅黑" w:hAnsi="微软雅黑" w:eastAsia="微软雅黑"/>
          <w:sz w:val="21"/>
        </w:rPr>
        <w:t>•  策略上线后半年内管理规模突破3亿</w:t>
      </w:r>
    </w:p>
    <w:p>
      <w:pPr>
        <w:spacing w:before="240" w:after="80"/>
      </w:pPr>
      <w:r>
        <w:rPr>
          <w:color w:val="C8C8C8"/>
          <w:sz w:val="12"/>
        </w:rPr>
        <w:t>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微软雅黑" w:hAnsi="微软雅黑" w:eastAsia="微软雅黑"/>
          <w:b/>
          <w:color w:val="005294"/>
          <w:sz w:val="24"/>
        </w:rPr>
        <w:t>职业总结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5年量化投资经验，专注于股票Alpha策略、多因子模型和机器学习在量化中的应用。具备扎实的数学功底和编程能力，熟悉A股市场特性。</w:t>
      </w:r>
    </w:p>
    <w:p>
      <w:pPr>
        <w:spacing w:before="240" w:after="80"/>
      </w:pPr>
      <w:r>
        <w:rPr>
          <w:color w:val="C8C8C8"/>
          <w:sz w:val="12"/>
        </w:rPr>
        <w:t>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微软雅黑" w:hAnsi="微软雅黑" w:eastAsia="微软雅黑"/>
          <w:b/>
          <w:color w:val="005294"/>
          <w:sz w:val="24"/>
        </w:rPr>
        <w:t>技术技能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编程语言：Python（NumPy/Pandas/Sklearn/TensorFlow/PyTorch）, C++, R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量化工具：Backtrader, Zipline, QuantConnect, Bloomberg Terminal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数据库：MySQL, PostgreSQL, Redis, ClickHouse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统计方法：多元统计分析、时间序列分析、机器学习、深度学习</w:t>
      </w:r>
    </w:p>
    <w:p>
      <w:pPr>
        <w:spacing w:after="40" w:line="360" w:lineRule="auto"/>
      </w:pPr>
      <w:r>
        <w:rPr>
          <w:rFonts w:ascii="微软雅黑" w:hAnsi="微软雅黑" w:eastAsia="微软雅黑"/>
          <w:sz w:val="21"/>
        </w:rPr>
        <w:t>金融知识：衍生品定价、风险管理、资产定价模型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