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A0711E"/>
          <w:sz w:val="18"/>
        </w:rPr>
        <w:t>BUY · BORROW · THRIVE — FACILITATOR SCRIPT</w:t>
      </w:r>
    </w:p>
    <w:p>
      <w:r>
        <w:rPr>
          <w:rFonts w:ascii="Cambria" w:hAnsi="Cambria"/>
          <w:b/>
          <w:color w:val="141C36"/>
          <w:sz w:val="52"/>
        </w:rPr>
        <w:t>Continuing · The Thrive Circle</w:t>
      </w:r>
    </w:p>
    <w:p>
      <w:r>
        <w:rPr>
          <w:rFonts w:ascii="Calibri" w:hAnsi="Calibri"/>
          <w:color w:val="5B6480"/>
          <w:sz w:val="24"/>
        </w:rPr>
        <w:t>USD 1,999 per year · alumni</w:t>
      </w:r>
    </w:p>
    <w:p>
      <w:r>
        <w:rPr>
          <w:rFonts w:ascii="Calibri" w:hAnsi="Calibri"/>
          <w:color w:val="B4720F"/>
          <w:sz w:val="19"/>
        </w:rPr>
        <w:t>Verify all platform figures and drawdown percentages before every cohort.</w:t>
      </w:r>
    </w:p>
    <w:p>
      <w:r>
        <w:br w:type="page"/>
      </w:r>
    </w:p>
    <w:p>
      <w:r>
        <w:rPr>
          <w:rFonts w:ascii="Cambria" w:hAnsi="Cambria"/>
          <w:b/>
          <w:color w:val="141C36"/>
          <w:sz w:val="40"/>
        </w:rPr>
        <w:t>CONTINUING · THE THRIVE CIRCLE — Programme Guide</w:t>
      </w:r>
    </w:p>
    <w:p>
      <w:pPr>
        <w:spacing w:after="120"/>
      </w:pPr>
      <w:r>
        <w:rPr>
          <w:rFonts w:ascii="Calibri" w:hAnsi="Calibri"/>
          <w:b/>
          <w:sz w:val="21"/>
        </w:rPr>
        <w:t>Price</w:t>
      </w:r>
      <w:r>
        <w:rPr>
          <w:rFonts w:ascii="Calibri" w:hAnsi="Calibri"/>
          <w:sz w:val="21"/>
        </w:rPr>
        <w:t xml:space="preserve"> USD 1,999 per year · alumni only </w:t>
      </w:r>
      <w:r>
        <w:rPr>
          <w:rFonts w:ascii="Calibri" w:hAnsi="Calibri"/>
          <w:b/>
          <w:sz w:val="21"/>
        </w:rPr>
        <w:t>Entry</w:t>
      </w:r>
      <w:r>
        <w:rPr>
          <w:rFonts w:ascii="Calibri" w:hAnsi="Calibri"/>
          <w:sz w:val="21"/>
        </w:rPr>
        <w:t xml:space="preserve"> Any level completed. Included free for Level 4's first year. </w:t>
      </w:r>
      <w:r>
        <w:rPr>
          <w:rFonts w:ascii="Calibri" w:hAnsi="Calibri"/>
          <w:b/>
          <w:sz w:val="21"/>
        </w:rPr>
        <w:t>Format</w:t>
      </w:r>
      <w:r>
        <w:rPr>
          <w:rFonts w:ascii="Calibri" w:hAnsi="Calibri"/>
          <w:sz w:val="21"/>
        </w:rPr>
        <w:t xml:space="preserve"> Ongoing — monthly brief, quarterly live call, annual level refresh</w:t>
      </w:r>
    </w:p>
    <w:p>
      <w:pPr>
        <w:spacing w:after="120"/>
      </w:pPr>
      <w:r>
        <w:rPr>
          <w:rFonts w:ascii="Calibri" w:hAnsi="Calibri"/>
          <w:sz w:val="21"/>
        </w:rPr>
        <w:t xml:space="preserve">Not a course. A membership that keeps a graduate's playbook </w:t>
      </w:r>
      <w:r>
        <w:rPr>
          <w:rFonts w:ascii="Calibri" w:hAnsi="Calibri"/>
          <w:b/>
          <w:sz w:val="21"/>
        </w:rPr>
        <w:t>current</w:t>
      </w:r>
      <w:r>
        <w:rPr>
          <w:rFonts w:ascii="Calibri" w:hAnsi="Calibri"/>
          <w:sz w:val="21"/>
        </w:rPr>
        <w:t>, on the theory that the discipline is the hard part and staying current is the part people quietly stop doing.</w:t>
      </w:r>
    </w:p>
    <w:p>
      <w:pPr>
        <w:spacing w:before="320"/>
      </w:pPr>
      <w:r>
        <w:rPr>
          <w:rFonts w:ascii="Cambria" w:hAnsi="Cambria"/>
          <w:b/>
          <w:color w:val="141C36"/>
          <w:sz w:val="30"/>
        </w:rPr>
        <w:t>What a member actually gets</w:t>
      </w:r>
    </w:p>
    <w:tbl>
      <w:tblPr>
        <w:tblStyle w:val="LightGrid-Accent1"/>
        <w:tblW w:type="auto" w:w="0"/>
        <w:tblLook w:firstColumn="1" w:firstRow="1" w:lastColumn="0" w:lastRow="0" w:noHBand="0" w:noVBand="1" w:val="04A0"/>
      </w:tblPr>
      <w:tblGrid>
        <w:gridCol w:w="3264"/>
        <w:gridCol w:w="3264"/>
        <w:gridCol w:w="3264"/>
      </w:tblGrid>
      <w:tr>
        <w:tc>
          <w:tcPr>
            <w:tcW w:type="dxa" w:w="3264"/>
          </w:tcPr>
          <w:p>
            <w:r>
              <w:rPr>
                <w:b/>
              </w:rPr>
            </w:r>
            <w:r>
              <w:rPr>
                <w:rFonts w:ascii="Calibri" w:hAnsi="Calibri"/>
                <w:b/>
                <w:sz w:val="18"/>
              </w:rPr>
              <w:t>Cadence</w:t>
            </w:r>
          </w:p>
        </w:tc>
        <w:tc>
          <w:tcPr>
            <w:tcW w:type="dxa" w:w="3264"/>
          </w:tcPr>
          <w:p>
            <w:r>
              <w:rPr>
                <w:b/>
              </w:rPr>
            </w:r>
            <w:r>
              <w:rPr>
                <w:rFonts w:ascii="Calibri" w:hAnsi="Calibri"/>
                <w:b/>
                <w:sz w:val="18"/>
              </w:rPr>
              <w:t>Deliverable</w:t>
            </w:r>
          </w:p>
        </w:tc>
        <w:tc>
          <w:tcPr>
            <w:tcW w:type="dxa" w:w="3264"/>
          </w:tcPr>
          <w:p>
            <w:r>
              <w:rPr>
                <w:b/>
              </w:rPr>
            </w:r>
            <w:r>
              <w:rPr>
                <w:rFonts w:ascii="Calibri" w:hAnsi="Calibri"/>
                <w:b/>
                <w:sz w:val="18"/>
              </w:rPr>
              <w:t>Who produces it</w:t>
            </w:r>
          </w:p>
        </w:tc>
      </w:tr>
      <w:tr>
        <w:tc>
          <w:tcPr>
            <w:tcW w:type="dxa" w:w="3264"/>
          </w:tcPr>
          <w:p>
            <w:r/>
            <w:r>
              <w:rPr>
                <w:rFonts w:ascii="Calibri" w:hAnsi="Calibri"/>
                <w:sz w:val="18"/>
              </w:rPr>
              <w:t>Monthly</w:t>
            </w:r>
          </w:p>
        </w:tc>
        <w:tc>
          <w:tcPr>
            <w:tcW w:type="dxa" w:w="3264"/>
          </w:tcPr>
          <w:p>
            <w:r/>
            <w:r>
              <w:rPr>
                <w:rFonts w:ascii="Calibri" w:hAnsi="Calibri"/>
                <w:b/>
                <w:sz w:val="18"/>
              </w:rPr>
              <w:t>The Four Numbers brief</w:t>
            </w:r>
            <w:r>
              <w:rPr>
                <w:rFonts w:ascii="Calibri" w:hAnsi="Calibri"/>
                <w:sz w:val="18"/>
              </w:rPr>
              <w:t xml:space="preserve"> — borrow rate, blended earn rate, spread, and whether the spread has inverted</w:t>
            </w:r>
          </w:p>
        </w:tc>
        <w:tc>
          <w:tcPr>
            <w:tcW w:type="dxa" w:w="3264"/>
          </w:tcPr>
          <w:p>
            <w:r/>
            <w:r>
              <w:rPr>
                <w:rFonts w:ascii="Calibri" w:hAnsi="Calibri"/>
                <w:sz w:val="18"/>
              </w:rPr>
              <w:t>Faculty, published</w:t>
            </w:r>
          </w:p>
        </w:tc>
      </w:tr>
      <w:tr>
        <w:tc>
          <w:tcPr>
            <w:tcW w:type="dxa" w:w="3264"/>
          </w:tcPr>
          <w:p>
            <w:r/>
            <w:r>
              <w:rPr>
                <w:rFonts w:ascii="Calibri" w:hAnsi="Calibri"/>
                <w:sz w:val="18"/>
              </w:rPr>
              <w:t>Monthly</w:t>
            </w:r>
          </w:p>
        </w:tc>
        <w:tc>
          <w:tcPr>
            <w:tcW w:type="dxa" w:w="3264"/>
          </w:tcPr>
          <w:p>
            <w:r/>
            <w:r>
              <w:rPr>
                <w:rFonts w:ascii="Calibri" w:hAnsi="Calibri"/>
                <w:sz w:val="18"/>
              </w:rPr>
              <w:t>One research note on something that changed</w:t>
            </w:r>
          </w:p>
        </w:tc>
        <w:tc>
          <w:tcPr>
            <w:tcW w:type="dxa" w:w="3264"/>
          </w:tcPr>
          <w:p>
            <w:r/>
            <w:r>
              <w:rPr>
                <w:rFonts w:ascii="Calibri" w:hAnsi="Calibri"/>
                <w:sz w:val="18"/>
              </w:rPr>
              <w:t>Rotating faculty</w:t>
            </w:r>
          </w:p>
        </w:tc>
      </w:tr>
      <w:tr>
        <w:tc>
          <w:tcPr>
            <w:tcW w:type="dxa" w:w="3264"/>
          </w:tcPr>
          <w:p>
            <w:r/>
            <w:r>
              <w:rPr>
                <w:rFonts w:ascii="Calibri" w:hAnsi="Calibri"/>
                <w:sz w:val="18"/>
              </w:rPr>
              <w:t>Quarterly</w:t>
            </w:r>
          </w:p>
        </w:tc>
        <w:tc>
          <w:tcPr>
            <w:tcW w:type="dxa" w:w="3264"/>
          </w:tcPr>
          <w:p>
            <w:r/>
            <w:r>
              <w:rPr>
                <w:rFonts w:ascii="Calibri" w:hAnsi="Calibri"/>
                <w:sz w:val="18"/>
              </w:rPr>
              <w:t>Live call — re-plot levels together, walk the current cycle</w:t>
            </w:r>
          </w:p>
        </w:tc>
        <w:tc>
          <w:tcPr>
            <w:tcW w:type="dxa" w:w="3264"/>
          </w:tcPr>
          <w:p>
            <w:r/>
            <w:r>
              <w:rPr>
                <w:rFonts w:ascii="Calibri" w:hAnsi="Calibri"/>
                <w:sz w:val="18"/>
              </w:rPr>
              <w:t>Lead instructor</w:t>
            </w:r>
          </w:p>
        </w:tc>
      </w:tr>
      <w:tr>
        <w:tc>
          <w:tcPr>
            <w:tcW w:type="dxa" w:w="3264"/>
          </w:tcPr>
          <w:p>
            <w:r/>
            <w:r>
              <w:rPr>
                <w:rFonts w:ascii="Calibri" w:hAnsi="Calibri"/>
                <w:sz w:val="18"/>
              </w:rPr>
              <w:t>Annually</w:t>
            </w:r>
          </w:p>
        </w:tc>
        <w:tc>
          <w:tcPr>
            <w:tcW w:type="dxa" w:w="3264"/>
          </w:tcPr>
          <w:p>
            <w:r/>
            <w:r>
              <w:rPr>
                <w:rFonts w:ascii="Calibri" w:hAnsi="Calibri"/>
                <w:b/>
                <w:sz w:val="18"/>
              </w:rPr>
              <w:t>The seven-year table, refreshed</w:t>
            </w:r>
            <w:r>
              <w:rPr>
                <w:rFonts w:ascii="Calibri" w:hAnsi="Calibri"/>
                <w:sz w:val="18"/>
              </w:rPr>
              <w:t xml:space="preserve"> with the year just past</w:t>
            </w:r>
          </w:p>
        </w:tc>
        <w:tc>
          <w:tcPr>
            <w:tcW w:type="dxa" w:w="3264"/>
          </w:tcPr>
          <w:p>
            <w:r/>
            <w:r>
              <w:rPr>
                <w:rFonts w:ascii="Calibri" w:hAnsi="Calibri"/>
                <w:sz w:val="18"/>
              </w:rPr>
              <w:t>Faculty</w:t>
            </w:r>
          </w:p>
        </w:tc>
      </w:tr>
      <w:tr>
        <w:tc>
          <w:tcPr>
            <w:tcW w:type="dxa" w:w="3264"/>
          </w:tcPr>
          <w:p>
            <w:r/>
            <w:r>
              <w:rPr>
                <w:rFonts w:ascii="Calibri" w:hAnsi="Calibri"/>
                <w:sz w:val="18"/>
              </w:rPr>
              <w:t>Annually</w:t>
            </w:r>
          </w:p>
        </w:tc>
        <w:tc>
          <w:tcPr>
            <w:tcW w:type="dxa" w:w="3264"/>
          </w:tcPr>
          <w:p>
            <w:r/>
            <w:r>
              <w:rPr>
                <w:rFonts w:ascii="Calibri" w:hAnsi="Calibri"/>
                <w:sz w:val="18"/>
              </w:rPr>
              <w:t>Level refresh — replot the weekly structure as a group</w:t>
            </w:r>
          </w:p>
        </w:tc>
        <w:tc>
          <w:tcPr>
            <w:tcW w:type="dxa" w:w="3264"/>
          </w:tcPr>
          <w:p>
            <w:r/>
            <w:r>
              <w:rPr>
                <w:rFonts w:ascii="Calibri" w:hAnsi="Calibri"/>
                <w:sz w:val="18"/>
              </w:rPr>
              <w:t>Lead instructor</w:t>
            </w:r>
          </w:p>
        </w:tc>
      </w:tr>
      <w:tr>
        <w:tc>
          <w:tcPr>
            <w:tcW w:type="dxa" w:w="3264"/>
          </w:tcPr>
          <w:p>
            <w:r/>
            <w:r>
              <w:rPr>
                <w:rFonts w:ascii="Calibri" w:hAnsi="Calibri"/>
                <w:sz w:val="18"/>
              </w:rPr>
              <w:t>Always</w:t>
            </w:r>
          </w:p>
        </w:tc>
        <w:tc>
          <w:tcPr>
            <w:tcW w:type="dxa" w:w="3264"/>
          </w:tcPr>
          <w:p>
            <w:r/>
            <w:r>
              <w:rPr>
                <w:rFonts w:ascii="Calibri" w:hAnsi="Calibri"/>
                <w:sz w:val="18"/>
              </w:rPr>
              <w:t>Alumni room</w:t>
            </w:r>
          </w:p>
        </w:tc>
        <w:tc>
          <w:tcPr>
            <w:tcW w:type="dxa" w:w="3264"/>
          </w:tcPr>
          <w:p>
            <w:r/>
            <w:r>
              <w:rPr>
                <w:rFonts w:ascii="Calibri" w:hAnsi="Calibri"/>
                <w:sz w:val="18"/>
              </w:rPr>
              <w:t>Community lead</w:t>
            </w:r>
          </w:p>
        </w:tc>
      </w:tr>
    </w:tbl>
    <w:p/>
    <w:p>
      <w:pPr>
        <w:spacing w:before="320"/>
      </w:pPr>
      <w:r>
        <w:rPr>
          <w:rFonts w:ascii="Cambria" w:hAnsi="Cambria"/>
          <w:b/>
          <w:color w:val="141C36"/>
          <w:sz w:val="30"/>
        </w:rPr>
        <w:t>The annual table refresh — the Circle's most valuable hour</w:t>
      </w:r>
    </w:p>
    <w:p>
      <w:pPr>
        <w:spacing w:after="120"/>
      </w:pPr>
      <w:r>
        <w:rPr>
          <w:rFonts w:ascii="Calibri" w:hAnsi="Calibri"/>
          <w:sz w:val="21"/>
        </w:rPr>
        <w:t>Each year, the capital preservation stress test gains a row.</w:t>
      </w:r>
    </w:p>
    <w:p>
      <w:pPr>
        <w:spacing w:after="60"/>
        <w:ind w:left="461"/>
      </w:pPr>
      <w:r>
        <w:rPr>
          <w:rFonts w:ascii="Calibri" w:hAnsi="Calibri"/>
          <w:color w:val="141C36"/>
          <w:sz w:val="23"/>
        </w:rPr>
        <w:t>This year goes into the table. Here's the drawdown, here's which alarm it reached, here's whether a position run to our rules survived it.</w:t>
      </w:r>
    </w:p>
    <w:p>
      <w:pPr>
        <w:spacing w:after="40"/>
      </w:pPr>
    </w:p>
    <w:p>
      <w:pPr>
        <w:spacing w:after="60"/>
        <w:ind w:left="461"/>
      </w:pPr>
      <w:r>
        <w:rPr>
          <w:rFonts w:ascii="Calibri" w:hAnsi="Calibri"/>
          <w:color w:val="141C36"/>
          <w:sz w:val="23"/>
        </w:rPr>
        <w:t>That's now {{years}} years of record. Every year this gets harder to argue with, and every year the people who left the discipline get a fresh reminder of what it was for.</w:t>
      </w:r>
    </w:p>
    <w:p>
      <w:pPr>
        <w:spacing w:after="120"/>
      </w:pPr>
      <w:r>
        <w:rPr>
          <w:rFonts w:ascii="Calibri" w:hAnsi="Calibri"/>
          <w:sz w:val="21"/>
        </w:rPr>
        <w:t xml:space="preserve">The refreshed table goes back into </w:t>
      </w:r>
      <w:r>
        <w:rPr>
          <w:rFonts w:ascii="Calibri" w:hAnsi="Calibri"/>
          <w:sz w:val="21"/>
        </w:rPr>
        <w:t>`../_shared/capital-preservation.md`</w:t>
      </w:r>
      <w:r>
        <w:rPr>
          <w:rFonts w:ascii="Calibri" w:hAnsi="Calibri"/>
          <w:sz w:val="21"/>
        </w:rPr>
        <w:t xml:space="preserve"> and therefore into every level, all the way down to the free Orientation. </w:t>
      </w:r>
      <w:r>
        <w:rPr>
          <w:rFonts w:ascii="Calibri" w:hAnsi="Calibri"/>
          <w:b/>
          <w:sz w:val="21"/>
        </w:rPr>
        <w:t>The Circle is how the whole programme stays true.</w:t>
      </w:r>
      <w:r>
        <w:rPr>
          <w:rFonts w:ascii="Calibri" w:hAnsi="Calibri"/>
          <w:sz w:val="21"/>
        </w:rPr>
        <w:t xml:space="preserve"> That is worth saying to members — their renewal funds the thing that keeps Level 0 honest.</w:t>
      </w:r>
    </w:p>
    <w:p>
      <w:pPr>
        <w:spacing w:before="320"/>
      </w:pPr>
      <w:r>
        <w:rPr>
          <w:rFonts w:ascii="Cambria" w:hAnsi="Cambria"/>
          <w:b/>
          <w:color w:val="141C36"/>
          <w:sz w:val="30"/>
        </w:rPr>
        <w:t>The monthly brief — format</w:t>
      </w:r>
    </w:p>
    <w:p>
      <w:pPr>
        <w:spacing w:after="120"/>
      </w:pPr>
      <w:r>
        <w:rPr>
          <w:rFonts w:ascii="Calibri" w:hAnsi="Calibri"/>
          <w:sz w:val="21"/>
        </w:rPr>
        <w:t>Four numbers, one paragraph, one action prompt. Never longer.</w:t>
      </w:r>
    </w:p>
    <w:p>
      <w:pPr>
        <w:spacing w:after="120"/>
      </w:pPr>
      <w:r>
        <w:rPr>
          <w:rFonts w:ascii="Consolas" w:hAnsi="Consolas"/>
          <w:sz w:val="20"/>
        </w:rPr>
        <w:t>`</w:t>
      </w:r>
    </w:p>
    <w:p>
      <w:pPr>
        <w:spacing w:after="120"/>
      </w:pPr>
      <w:r>
        <w:rPr>
          <w:rFonts w:ascii="Calibri" w:hAnsi="Calibri"/>
          <w:sz w:val="21"/>
        </w:rPr>
        <w:t>THRIVE CIRCLE · {{month}} Borrow (USDT)        {{rate}} Earn (USDC, blended) {{rate}} Spread               {{spread}}      [ NORMAL | NARROW | INVERTED ] BTC drawdown from cycle high        {{pct}}   → deepest alarm: {{alarm}}</w:t>
      </w:r>
    </w:p>
    <w:p>
      <w:pPr>
        <w:spacing w:after="120"/>
      </w:pPr>
      <w:r>
        <w:rPr>
          <w:rFonts w:ascii="Calibri" w:hAnsi="Calibri"/>
          <w:sz w:val="21"/>
        </w:rPr>
        <w:t xml:space="preserve">  This month: {{one paragraph}} Your action: {{log the four numbers | recompute alarms | nothing}}</w:t>
      </w:r>
    </w:p>
    <w:p>
      <w:pPr>
        <w:spacing w:after="120"/>
      </w:pPr>
      <w:r>
        <w:rPr>
          <w:rFonts w:ascii="Consolas" w:hAnsi="Consolas"/>
          <w:sz w:val="20"/>
        </w:rPr>
        <w:t>`</w:t>
      </w:r>
    </w:p>
    <w:p>
      <w:pPr>
        <w:spacing w:after="120"/>
      </w:pPr>
      <w:r>
        <w:rPr>
          <w:rFonts w:ascii="Calibri" w:hAnsi="Calibri"/>
          <w:sz w:val="21"/>
        </w:rPr>
        <w:t>"Your action: nothing" is a legitimate and frequent output. A brief that always manufactures an action trains members to always do something, which is the exact behaviour the programme exists to prevent.</w:t>
      </w:r>
    </w:p>
    <w:p>
      <w:pPr>
        <w:spacing w:before="320"/>
      </w:pPr>
      <w:r>
        <w:rPr>
          <w:rFonts w:ascii="Cambria" w:hAnsi="Cambria"/>
          <w:b/>
          <w:color w:val="141C36"/>
          <w:sz w:val="30"/>
        </w:rPr>
        <w:t>What the Circle is not</w:t>
      </w:r>
    </w:p>
    <w:p>
      <w:pPr>
        <w:pStyle w:val="ListBullet"/>
      </w:pPr>
      <w:r>
        <w:rPr>
          <w:rFonts w:ascii="Calibri" w:hAnsi="Calibri"/>
          <w:b/>
          <w:sz w:val="21"/>
        </w:rPr>
        <w:t>Not signals.</w:t>
      </w:r>
      <w:r>
        <w:rPr>
          <w:rFonts w:ascii="Calibri" w:hAnsi="Calibri"/>
          <w:sz w:val="21"/>
        </w:rPr>
        <w:t xml:space="preserve"> No entries, no exits, no calls. Ever.</w:t>
      </w:r>
    </w:p>
    <w:p>
      <w:pPr>
        <w:pStyle w:val="ListBullet"/>
      </w:pPr>
      <w:r>
        <w:rPr>
          <w:rFonts w:ascii="Calibri" w:hAnsi="Calibri"/>
          <w:b/>
          <w:sz w:val="21"/>
        </w:rPr>
        <w:t>Not a private group with tips.</w:t>
      </w:r>
      <w:r>
        <w:rPr>
          <w:rFonts w:ascii="Calibri" w:hAnsi="Calibri"/>
          <w:sz w:val="21"/>
        </w:rPr>
        <w:t xml:space="preserve"> The alumni room is moderated to the same standard as a classroom; anyone posting a price target is warned once.</w:t>
      </w:r>
    </w:p>
    <w:p>
      <w:pPr>
        <w:pStyle w:val="ListBullet"/>
      </w:pPr>
      <w:r>
        <w:rPr>
          <w:rFonts w:ascii="Calibri" w:hAnsi="Calibri"/>
          <w:b/>
          <w:sz w:val="21"/>
        </w:rPr>
        <w:t>Not a substitute for the playbook.</w:t>
      </w:r>
      <w:r>
        <w:rPr>
          <w:rFonts w:ascii="Calibri" w:hAnsi="Calibri"/>
          <w:sz w:val="21"/>
        </w:rPr>
        <w:t xml:space="preserve"> Members who stopped following theirs are told to go back to it, not sold something.</w:t>
      </w:r>
    </w:p>
    <w:p>
      <w:pPr>
        <w:spacing w:before="320"/>
      </w:pPr>
      <w:r>
        <w:rPr>
          <w:rFonts w:ascii="Cambria" w:hAnsi="Cambria"/>
          <w:b/>
          <w:color w:val="141C36"/>
          <w:sz w:val="30"/>
        </w:rPr>
        <w:t>Lapse policy</w:t>
      </w:r>
    </w:p>
    <w:p>
      <w:pPr>
        <w:spacing w:after="120"/>
      </w:pPr>
      <w:r>
        <w:rPr>
          <w:rFonts w:ascii="Calibri" w:hAnsi="Calibri"/>
          <w:sz w:val="21"/>
        </w:rPr>
        <w:t>If a member hasn't logged their four numbers in six months, the renewal email says so plainly and suggests they don't renew. Faculty may not renew someone who has gone dark without that conversation.</w:t>
      </w:r>
    </w:p>
    <w:p>
      <w:pPr>
        <w:spacing w:after="120"/>
      </w:pPr>
      <w:r>
        <w:rPr>
          <w:rFonts w:ascii="Calibri" w:hAnsi="Calibri"/>
          <w:sz w:val="21"/>
        </w:rPr>
        <w:t>That will cost renewals. It is the same rule as every other level's disqualifier, and it is the reason anyone believes the rest of it.</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