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DomuWave — Riepilogo delle modifiche</w:t>
      </w:r>
    </w:p>
    <w:p/>
    <w:p>
      <w:r>
        <w:rPr>
          <w:b/>
        </w:rPr>
        <w:t xml:space="preserve">Data:</w:t>
      </w:r>
      <w:r>
        <w:t xml:space="preserve"> 2 giugno 2026</w:t>
      </w:r>
    </w:p>
    <w:p>
      <w:r>
        <w:rPr>
          <w:b/>
        </w:rPr>
        <w:t xml:space="preserve">A cura di:</w:t>
      </w:r>
      <w:r>
        <w:t xml:space="preserve"> Team di sviluppo</w:t>
      </w:r>
    </w:p>
    <w:p/>
    <w:p>
      <w:r>
        <w:t xml:space="preserve">Di seguito l'elenco degli interventi e delle nuove funzionalità rilasciate nelle ultime giornate di lavoro.</w:t>
      </w:r>
    </w:p>
    <w:p/>
    <w:p/>
    <w:p>
      <w:pPr>
        <w:pStyle w:val="Heading2"/>
      </w:pPr>
      <w:r>
        <w:t xml:space="preserve">1. Esercizi fiscali</w:t>
      </w:r>
    </w:p>
    <w:p/>
    <w:p>
      <w:pPr>
        <w:numPr>
          <w:ilvl w:val="0"/>
          <w:numId w:val="1"/>
        </w:numPr>
      </w:pPr>
      <w:r>
        <w:rPr>
          <w:b/>
        </w:rPr>
        <w:t xml:space="preserve">Nuovo box "Saldo iniziale"</w:t>
      </w:r>
      <w:r>
        <w:t xml:space="preserve"> nel dettaglio dell'esercizio fiscale: i riquadri di riepilogo ora mostrano anche il saldo iniziale (o "Saldo anno precedente" se l'esercizio è collegato a quello precedente).</w:t>
      </w:r>
    </w:p>
    <w:p>
      <w:pPr>
        <w:numPr>
          <w:ilvl w:val="0"/>
          <w:numId w:val="1"/>
        </w:numPr>
      </w:pPr>
      <w:r>
        <w:rPr>
          <w:b/>
        </w:rPr>
        <w:t xml:space="preserve">Riga dei totali</w:t>
      </w:r>
      <w:r>
        <w:t xml:space="preserve"> nella tabella "Saldi iniziali per unità": in fondo alla tabella viene ora mostrato il totale di ciascuna colonna (saldo iniziale, rate, conguaglio, saldo finale).</w:t>
      </w:r>
    </w:p>
    <w:p/>
    <w:p/>
    <w:p>
      <w:pPr>
        <w:pStyle w:val="Heading2"/>
      </w:pPr>
      <w:r>
        <w:t xml:space="preserve">2. Visualizzazione importi contabili (personalizzabile)</w:t>
      </w:r>
    </w:p>
    <w:p/>
    <w:p>
      <w:pPr>
        <w:numPr>
          <w:ilvl w:val="0"/>
          <w:numId w:val="1"/>
        </w:numPr>
      </w:pPr>
      <w:r>
        <w:rPr>
          <w:b/>
        </w:rPr>
        <w:t xml:space="preserve">Nuova pagina "Impostazioni visualizzazione"</w:t>
      </w:r>
      <w:r>
        <w:t xml:space="preserve"> (sezione Amministrazione): è possibile scegliere come mostrare i valori contabili (spese, incassi, saldi).</w:t>
      </w:r>
    </w:p>
    <w:p>
      <w:pPr>
        <w:numPr>
          <w:ilvl w:val="0"/>
          <w:numId w:val="1"/>
        </w:numPr>
      </w:pPr>
      <w:r>
        <w:t xml:space="preserve">Due modalità disponibili:</w:t>
      </w:r>
    </w:p>
    <w:p>
      <w:pPr>
        <w:numPr>
          <w:ilvl w:val="0"/>
          <w:numId w:val="1"/>
        </w:numPr>
      </w:pPr>
      <w:r>
        <w:rPr>
          <w:b/>
        </w:rPr>
        <w:t xml:space="preserve">Solo colore</w:t>
      </w:r>
      <w:r>
        <w:t xml:space="preserve"> — le uscite in rosso senza segno (comportamento storico);</w:t>
      </w:r>
    </w:p>
    <w:p>
      <w:pPr>
        <w:numPr>
          <w:ilvl w:val="0"/>
          <w:numId w:val="1"/>
        </w:numPr>
      </w:pPr>
      <w:r>
        <w:rPr>
          <w:b/>
        </w:rPr>
        <w:t xml:space="preserve">Segno esplicito</w:t>
      </w:r>
      <w:r>
        <w:t xml:space="preserve"> — le uscite con il segno meno e le entrate con il segno più.</w:t>
      </w:r>
    </w:p>
    <w:p>
      <w:pPr>
        <w:numPr>
          <w:ilvl w:val="0"/>
          <w:numId w:val="1"/>
        </w:numPr>
      </w:pPr>
      <w:r>
        <w:t xml:space="preserve">L'impostazione è </w:t>
      </w:r>
      <w:r>
        <w:rPr>
          <w:b/>
        </w:rPr>
        <w:t xml:space="preserve">per singolo condominio/cliente</w:t>
      </w:r>
      <w:r>
        <w:t xml:space="preserve"> e viene applicata, ad esempio, ai riquadri del dettaglio esercizio fiscale. È presente un'anteprima in tempo reale durante la scelta.</w:t>
      </w:r>
    </w:p>
    <w:p/>
    <w:p/>
    <w:p>
      <w:pPr>
        <w:pStyle w:val="Heading2"/>
      </w:pPr>
      <w:r>
        <w:t xml:space="preserve">3. Anagrafica condòmini</w:t>
      </w:r>
    </w:p>
    <w:p/>
    <w:p>
      <w:pPr>
        <w:numPr>
          <w:ilvl w:val="0"/>
          <w:numId w:val="1"/>
        </w:numPr>
      </w:pPr>
      <w:r>
        <w:rPr>
          <w:b/>
        </w:rPr>
        <w:t xml:space="preserve">Aggiunto il numero di telefono</w:t>
      </w:r>
      <w:r>
        <w:t xml:space="preserve"> all'anagrafica del proprietario (in precedenza era presente solo per l'inquilino). Il campo è disponibile nella scheda di creazione/modifica degli occupanti.</w:t>
      </w:r>
    </w:p>
    <w:p/>
    <w:p/>
    <w:p>
      <w:pPr>
        <w:pStyle w:val="Heading2"/>
      </w:pPr>
      <w:r>
        <w:t xml:space="preserve">4. Gestione delle spese</w:t>
      </w:r>
    </w:p>
    <w:p/>
    <w:p>
      <w:pPr>
        <w:numPr>
          <w:ilvl w:val="0"/>
          <w:numId w:val="1"/>
        </w:numPr>
      </w:pPr>
      <w:r>
        <w:rPr>
          <w:b/>
        </w:rPr>
        <w:t xml:space="preserve">Nuovo flag "Invia 770"</w:t>
      </w:r>
      <w:r>
        <w:t xml:space="preserve"> sulla spesa: consente di indicare se la spesa deve essere inclusa nel modello 770.</w:t>
      </w:r>
    </w:p>
    <w:p>
      <w:pPr>
        <w:numPr>
          <w:ilvl w:val="0"/>
          <w:numId w:val="1"/>
        </w:numPr>
      </w:pPr>
      <w:r>
        <w:rPr>
          <w:b/>
        </w:rPr>
        <w:t xml:space="preserve">Date documento e registrazione ora opzionali</w:t>
      </w:r>
      <w:r>
        <w:t xml:space="preserve">: non è più obbligatorio compilarle al momento dell'inserimento della spesa.</w:t>
      </w:r>
    </w:p>
    <w:p>
      <w:pPr>
        <w:numPr>
          <w:ilvl w:val="0"/>
          <w:numId w:val="1"/>
        </w:numPr>
      </w:pPr>
      <w:r>
        <w:rPr>
          <w:b/>
        </w:rPr>
        <w:t xml:space="preserve">Imputazione della spesa a un singolo immobile</w:t>
      </w:r>
      <w:r>
        <w:t xml:space="preserve">: in alternativa alla ripartizione per tabella millesimale, è ora possibile assegnare una spesa interamente a un determinato immobile. La scelta avviene tramite un selettore "Tabella millesimale / Immobile specifico".</w:t>
      </w:r>
    </w:p>
    <w:p>
      <w:pPr>
        <w:numPr>
          <w:ilvl w:val="0"/>
          <w:numId w:val="1"/>
        </w:numPr>
      </w:pPr>
      <w:r>
        <w:rPr>
          <w:b/>
        </w:rPr>
        <w:t xml:space="preserve">Riorganizzazione della scheda spesa</w:t>
      </w:r>
      <w:r>
        <w:t xml:space="preserve">: migliorata la disposizione dei campi "A carico di" e "Invia 770" per una lettura più chiara.</w:t>
      </w:r>
    </w:p>
    <w:p/>
    <w:p/>
    <w:p>
      <w:pPr>
        <w:pStyle w:val="Heading2"/>
      </w:pPr>
      <w:r>
        <w:t xml:space="preserve">5. Gestione consumi (es. acqua) — revisione del calcolo</w:t>
      </w:r>
    </w:p>
    <w:p/>
    <w:p>
      <w:r>
        <w:t xml:space="preserve">È stato rivisto il meccanismo di ripartizione delle spese a consumo per allinearlo al funzionamento reale:</w:t>
      </w:r>
    </w:p>
    <w:p/>
    <w:p>
      <w:pPr>
        <w:numPr>
          <w:ilvl w:val="0"/>
          <w:numId w:val="1"/>
        </w:numPr>
      </w:pPr>
      <w:r>
        <w:rPr>
          <w:b/>
        </w:rPr>
        <w:t xml:space="preserve">Importo ripartito automatico</w:t>
      </w:r>
      <w:r>
        <w:t xml:space="preserve">: l'importo da ripartire non si inserisce più a mano. Viene calcolato automaticamente come </w:t>
      </w:r>
      <w:r>
        <w:rPr>
          <w:b/>
        </w:rPr>
        <w:t xml:space="preserve">somma delle bollette</w:t>
      </w:r>
      <w:r>
        <w:t xml:space="preserve"> registrate durante l'anno sul conto associato a quel tipo di consumo.</w:t>
      </w:r>
    </w:p>
    <w:p>
      <w:pPr>
        <w:numPr>
          <w:ilvl w:val="0"/>
          <w:numId w:val="1"/>
        </w:numPr>
      </w:pPr>
      <w:r>
        <w:rPr>
          <w:b/>
        </w:rPr>
        <w:t xml:space="preserve">Controllo di completezza</w:t>
      </w:r>
      <w:r>
        <w:t xml:space="preserve">: la ripartizione viene eseguita solo se </w:t>
      </w:r>
      <w:r>
        <w:rPr>
          <w:b/>
        </w:rPr>
        <w:t xml:space="preserve">tutte le unità dotate di contatore attivo</w:t>
      </w:r>
      <w:r>
        <w:t xml:space="preserve"> hanno una lettura registrata. In caso contrario il sistema segnala l'elenco delle unità mancanti.</w:t>
      </w:r>
    </w:p>
    <w:p>
      <w:pPr>
        <w:numPr>
          <w:ilvl w:val="0"/>
          <w:numId w:val="1"/>
        </w:numPr>
      </w:pPr>
      <w:r>
        <w:rPr>
          <w:b/>
        </w:rPr>
        <w:t xml:space="preserve">Date delle letture precompilate</w:t>
      </w:r>
      <w:r>
        <w:t xml:space="preserve">: all'inserimento delle letture, i campi data inizio e data fine vengono proposti automaticamente con il periodo dell'esercizio fiscale selezionato.</w:t>
      </w:r>
    </w:p>
    <w:p>
      <w:pPr>
        <w:numPr>
          <w:ilvl w:val="0"/>
          <w:numId w:val="1"/>
        </w:numPr>
      </w:pPr>
      <w:r>
        <w:rPr>
          <w:b/>
        </w:rPr>
        <w:t xml:space="preserve">Ripartizione corretta nel consuntivo</w:t>
      </w:r>
      <w:r>
        <w:t xml:space="preserve">: le spese di una categoria assegnata a un consumo </w:t>
      </w:r>
      <w:r>
        <w:rPr>
          <w:b/>
        </w:rPr>
        <w:t xml:space="preserve">non</w:t>
      </w:r>
      <w:r>
        <w:t xml:space="preserve"> vengono più ripartite per millesimi, ma in base ai consumi effettivi. Questo si riflette correttamente nel rendiconto/consuntivo e nel conguaglio per unità.</w:t>
      </w:r>
    </w:p>
    <w:p>
      <w:pPr>
        <w:numPr>
          <w:ilvl w:val="0"/>
          <w:numId w:val="1"/>
        </w:numPr>
      </w:pPr>
      <w:r>
        <w:rPr>
          <w:b/>
        </w:rPr>
        <w:t xml:space="preserve">Approvazione consumi semplificata</w:t>
      </w:r>
      <w:r>
        <w:t xml:space="preserve">: l'approvazione della ripartizione consumi salva le quote per unità che confluiscono nel consuntivo; l'addebito vero e proprio resta legato all'approvazione del bilancio consuntivo.</w:t>
      </w:r>
    </w:p>
    <w:p/>
    <w:p/>
    <w:p>
      <w:pPr>
        <w:pStyle w:val="Heading2"/>
      </w:pPr>
      <w:r>
        <w:t xml:space="preserve">6. Nuovi report</w:t>
      </w:r>
    </w:p>
    <w:p/>
    <w:p>
      <w:pPr>
        <w:numPr>
          <w:ilvl w:val="0"/>
          <w:numId w:val="1"/>
        </w:numPr>
      </w:pPr>
      <w:r>
        <w:rPr>
          <w:b/>
        </w:rPr>
        <w:t xml:space="preserve">Report "Spese per tabella millesimale"</w:t>
      </w:r>
      <w:r>
        <w:t xml:space="preserve"> (sezione Contabilità): elenco delle spese di un esercizio fiscale raggruppate per tabella millesimale, con totale per gruppo e totale complessivo. Le spese imputate a un singolo immobile sono raggruppate in una sezione dedicata. Il report è </w:t>
      </w:r>
      <w:r>
        <w:rPr>
          <w:b/>
        </w:rPr>
        <w:t xml:space="preserve">stampabile / esportabile in PDF</w:t>
      </w:r>
      <w:r>
        <w:t xml:space="preserve">.</w:t>
      </w:r>
    </w:p>
    <w:p>
      <w:pPr>
        <w:numPr>
          <w:ilvl w:val="0"/>
          <w:numId w:val="1"/>
        </w:numPr>
      </w:pPr>
      <w:r>
        <w:rPr>
          <w:b/>
        </w:rPr>
        <w:t xml:space="preserve">Report "Bilancio di ripartizione"</w:t>
      </w:r>
      <w:r>
        <w:t xml:space="preserve"> (sezione Contabilità): prospetto di sintesi per esercizio fiscale con una riga per i proprietari e, se presenti, una per gli inquilini di ogni unità. Le colonne sono dinamiche: una per ciascun </w:t>
      </w:r>
      <w:r>
        <w:rPr>
          <w:b/>
        </w:rPr>
        <w:t xml:space="preserve">tipo di consumo</w:t>
      </w:r>
      <w:r>
        <w:t xml:space="preserve"> utilizzato (con quantità e importo) e una per ciascuna </w:t>
      </w:r>
      <w:r>
        <w:rPr>
          <w:b/>
        </w:rPr>
        <w:t xml:space="preserve">tabella millesimale</w:t>
      </w:r>
      <w:r>
        <w:t xml:space="preserve"> (con millesimi e importo ripartito), più le </w:t>
      </w:r>
      <w:r>
        <w:rPr>
          <w:b/>
        </w:rPr>
        <w:t xml:space="preserve">spese dirette</w:t>
      </w:r>
      <w:r>
        <w:t xml:space="preserve"> imputate al singolo immobile, gli </w:t>
      </w:r>
      <w:r>
        <w:rPr>
          <w:b/>
        </w:rPr>
        <w:t xml:space="preserve">accrediti</w:t>
      </w:r>
      <w:r>
        <w:t xml:space="preserve">, il </w:t>
      </w:r>
      <w:r>
        <w:rPr>
          <w:b/>
        </w:rPr>
        <w:t xml:space="preserve">totale a carico</w:t>
      </w:r>
      <w:r>
        <w:t xml:space="preserve">, il </w:t>
      </w:r>
      <w:r>
        <w:rPr>
          <w:b/>
        </w:rPr>
        <w:t xml:space="preserve">versato</w:t>
      </w:r>
      <w:r>
        <w:t xml:space="preserve"> (quote condominiali incassate) e il </w:t>
      </w:r>
      <w:r>
        <w:rPr>
          <w:b/>
        </w:rPr>
        <w:t xml:space="preserve">saldo</w:t>
      </w:r>
      <w:r>
        <w:t xml:space="preserve"> per unità. In fondo è presente la </w:t>
      </w:r>
      <w:r>
        <w:rPr>
          <w:b/>
        </w:rPr>
        <w:t xml:space="preserve">riga dei totali</w:t>
      </w:r>
      <w:r>
        <w:t xml:space="preserve"> di colonna.</w:t>
      </w:r>
    </w:p>
    <w:p/>
    <w:p/>
    <w:p>
      <w:pPr>
        <w:pStyle w:val="Heading2"/>
      </w:pPr>
      <w:r>
        <w:t xml:space="preserve">7. Altre migliorie</w:t>
      </w:r>
    </w:p>
    <w:p/>
    <w:p>
      <w:pPr>
        <w:numPr>
          <w:ilvl w:val="0"/>
          <w:numId w:val="1"/>
        </w:numPr>
      </w:pPr>
      <w:r>
        <w:rPr>
          <w:b/>
        </w:rPr>
        <w:t xml:space="preserve">Tabella millesimale predefinita</w:t>
      </w:r>
      <w:r>
        <w:t xml:space="preserve">: la tabella creata automaticamente alla creazione di un nuovo condominio si chiama ora </w:t>
      </w:r>
      <w:r>
        <w:rPr>
          <w:b/>
        </w:rPr>
        <w:t xml:space="preserve">"Generale"</w:t>
      </w:r>
      <w:r>
        <w:t xml:space="preserve"> (in precedenza "Default").</w:t>
      </w:r>
    </w:p>
    <w:p/>
    <w:p/>
    <w:p>
      <w:pPr>
        <w:pStyle w:val="Heading3"/>
      </w:pPr>
      <w:r>
        <w:t xml:space="preserve">Note</w:t>
      </w:r>
    </w:p>
    <w:p/>
    <w:p>
      <w:pPr>
        <w:numPr>
          <w:ilvl w:val="0"/>
          <w:numId w:val="1"/>
        </w:numPr>
      </w:pPr>
      <w:r>
        <w:t xml:space="preserve">Alcune funzionalità richiedono il completamento dei dati (es. lettura dei contatori, registrazione delle bollette) per produrre i risultati attesi.</w:t>
      </w:r>
    </w:p>
    <w:p>
      <w:pPr>
        <w:numPr>
          <w:ilvl w:val="0"/>
          <w:numId w:val="1"/>
        </w:numPr>
      </w:pPr>
      <w:r>
        <w:t xml:space="preserve">Per qualsiasi chiarimento o per segnalare un comportamento inatteso, restiamo a disposizione.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Symbol" w:hAnsi="Symbol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spacing w:before="240" w:after="120"/>
    </w:pPr>
    <w:rPr>
      <w:b/>
      <w:color w:val="1F4E79"/>
      <w:sz w:val="36"/>
    </w:rPr>
  </w:style>
  <w:style w:type="paragraph" w:styleId="Heading2">
    <w:name w:val="heading 2"/>
    <w:basedOn w:val="Normal"/>
    <w:pPr>
      <w:spacing w:before="240" w:after="80"/>
    </w:pPr>
    <w:rPr>
      <w:b/>
      <w:color w:val="2E74B5"/>
      <w:sz w:val="28"/>
    </w:rPr>
  </w:style>
  <w:style w:type="paragraph" w:styleId="Heading3">
    <w:name w:val="heading 3"/>
    <w:basedOn w:val="Normal"/>
    <w:pPr>
      <w:spacing w:before="120" w:after="60"/>
    </w:pPr>
    <w:rPr>
      <w:b/>
      <w:color w:val="2E74B5"/>
      <w:sz w:val="2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