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XEPTION • DIGITAL / SALES OPERATIONS</w:t>
      </w:r>
    </w:p>
    <w:p>
      <w:pPr>
        <w:spacing w:after="0"/>
      </w:pPr>
      <w:r>
        <w:rPr>
          <w:rFonts w:ascii="Aptos Display" w:hAnsi="Aptos Display"/>
          <w:b/>
          <w:color w:val="121212"/>
          <w:sz w:val="58"/>
        </w:rPr>
        <w:t>DEVIS</w:t>
      </w:r>
    </w:p>
    <w:p>
      <w:pPr>
        <w:spacing w:after="120"/>
      </w:pPr>
      <w:r>
        <w:rPr>
          <w:rFonts w:ascii="Aptos Display" w:hAnsi="Aptos Display"/>
          <w:b/>
          <w:color w:val="976D1F"/>
          <w:sz w:val="34"/>
        </w:rPr>
        <w:t>Module de suivi des ventes &amp; performance commerciale</w:t>
      </w:r>
    </w:p>
    <w:p>
      <w:pPr>
        <w:spacing w:before="0" w:after="120"/>
        <w:pBdr>
          <w:bottom w:val="single" w:sz="12" w:space="1" w:color="C79A3D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24"/>
        <w:gridCol w:w="6860"/>
      </w:tblGrid>
      <w:tr>
        <w:trPr>
          <w:cantSplit/>
        </w:trPr>
        <w:tc>
          <w:tcPr>
            <w:tcW w:type="dxa" w:w="5100"/>
            <w:shd w:fill="1212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CLIENT</w:t>
            </w:r>
          </w:p>
        </w:tc>
        <w:tc>
          <w:tcPr>
            <w:tcW w:type="dxa" w:w="5100"/>
            <w:shd w:fill="F5F5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XEPTION</w:t>
            </w:r>
          </w:p>
        </w:tc>
      </w:tr>
      <w:tr>
        <w:trPr>
          <w:cantSplit/>
        </w:trPr>
        <w:tc>
          <w:tcPr>
            <w:tcW w:type="dxa" w:w="5100"/>
            <w:shd w:fill="1212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CONSULTANTE</w:t>
            </w:r>
          </w:p>
        </w:tc>
        <w:tc>
          <w:tcPr>
            <w:tcW w:type="dxa" w:w="5100"/>
            <w:shd w:fill="F5F5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Jennifer Lawrynn Aka'a - Consultante Informatique</w:t>
            </w:r>
          </w:p>
        </w:tc>
      </w:tr>
      <w:tr>
        <w:trPr>
          <w:cantSplit/>
        </w:trPr>
        <w:tc>
          <w:tcPr>
            <w:tcW w:type="dxa" w:w="5100"/>
            <w:shd w:fill="1212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RÉFÉRENCE</w:t>
            </w:r>
          </w:p>
        </w:tc>
        <w:tc>
          <w:tcPr>
            <w:tcW w:type="dxa" w:w="5100"/>
            <w:shd w:fill="F5F5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XEP-SALES-2026-0820</w:t>
            </w:r>
          </w:p>
        </w:tc>
      </w:tr>
      <w:tr>
        <w:trPr>
          <w:cantSplit/>
        </w:trPr>
        <w:tc>
          <w:tcPr>
            <w:tcW w:type="dxa" w:w="5100"/>
            <w:shd w:fill="1212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5100"/>
            <w:shd w:fill="F5F5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20 août 2026</w:t>
            </w:r>
          </w:p>
        </w:tc>
      </w:tr>
      <w:tr>
        <w:trPr>
          <w:cantSplit/>
        </w:trPr>
        <w:tc>
          <w:tcPr>
            <w:tcW w:type="dxa" w:w="5100"/>
            <w:shd w:fill="1212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VALIDITÉ</w:t>
            </w:r>
          </w:p>
        </w:tc>
        <w:tc>
          <w:tcPr>
            <w:tcW w:type="dxa" w:w="5100"/>
            <w:shd w:fill="F5F5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7 jours</w:t>
            </w:r>
          </w:p>
        </w:tc>
      </w:tr>
    </w:tbl>
    <w:p/>
    <w:p>
      <w:pPr>
        <w:pStyle w:val="Heading1"/>
      </w:pPr>
      <w:r>
        <w:t>1. Objet de la prestation</w:t>
      </w:r>
    </w:p>
    <w:p>
      <w:r>
        <w:t>Conception, développement et mise en service d'une application web responsive permettant aux vendeurs/commerciaux d'enregistrer leurs ventes, et à la direction de suivre automatiquement l'activité commerciale, les performances, les objectifs, les stocks et les principaux indicateurs de pilotage.</w:t>
      </w:r>
    </w:p>
    <w:p>
      <w:pPr>
        <w:pStyle w:val="Heading1"/>
      </w:pPr>
      <w:r>
        <w:t>2. Périmètre validé</w:t>
      </w:r>
    </w:p>
    <w:p>
      <w:pPr>
        <w:pStyle w:val="ListBullet"/>
        <w:spacing w:after="40"/>
      </w:pPr>
      <w:r>
        <w:t>Authentification et rôles : vendeur, responsable, administrateur.</w:t>
      </w:r>
    </w:p>
    <w:p>
      <w:pPr>
        <w:pStyle w:val="ListBullet"/>
        <w:spacing w:after="40"/>
      </w:pPr>
      <w:r>
        <w:t>Gestion des points de vente, produits, catégories/marques et prix.</w:t>
      </w:r>
    </w:p>
    <w:p>
      <w:pPr>
        <w:pStyle w:val="ListBullet"/>
        <w:spacing w:after="40"/>
      </w:pPr>
      <w:r>
        <w:t>Saisie des ventes en temps réel avec plusieurs articles par transaction.</w:t>
      </w:r>
    </w:p>
    <w:p>
      <w:pPr>
        <w:pStyle w:val="ListBullet"/>
        <w:spacing w:after="40"/>
      </w:pPr>
      <w:r>
        <w:t>Historique des ventes et récapitulatif automatique de la journée.</w:t>
      </w:r>
    </w:p>
    <w:p>
      <w:pPr>
        <w:pStyle w:val="ListBullet"/>
        <w:spacing w:after="40"/>
      </w:pPr>
      <w:r>
        <w:t>Dashboard : chiffre d'affaires, transactions, panier moyen, meilleurs vendeurs, top produits et performance par point de vente.</w:t>
      </w:r>
    </w:p>
    <w:p>
      <w:pPr>
        <w:pStyle w:val="ListBullet"/>
        <w:spacing w:after="40"/>
      </w:pPr>
      <w:r>
        <w:t>Filtres par date, vendeur, point de vente et produit.</w:t>
      </w:r>
    </w:p>
    <w:p>
      <w:pPr>
        <w:pStyle w:val="ListBullet"/>
        <w:spacing w:after="40"/>
      </w:pPr>
      <w:r>
        <w:t>Export Excel des ventes / récapitulatifs.</w:t>
      </w:r>
    </w:p>
    <w:p>
      <w:pPr>
        <w:pStyle w:val="ListBullet"/>
        <w:spacing w:after="40"/>
      </w:pPr>
      <w:r>
        <w:t>Objectifs commerciaux et suivi du taux d'atteinte.</w:t>
      </w:r>
    </w:p>
    <w:p>
      <w:pPr>
        <w:pStyle w:val="ListBullet"/>
        <w:spacing w:after="40"/>
      </w:pPr>
      <w:r>
        <w:t>Primes / bonus selon règles ou seuils définis.</w:t>
      </w:r>
    </w:p>
    <w:p>
      <w:pPr>
        <w:pStyle w:val="ListBullet"/>
        <w:spacing w:after="40"/>
      </w:pPr>
      <w:r>
        <w:t>Gestion du stock : entrées, sorties, ventes, transferts, retours, ajustements et inventaires.</w:t>
      </w:r>
    </w:p>
    <w:p>
      <w:pPr>
        <w:pStyle w:val="ListBullet"/>
        <w:spacing w:after="40"/>
      </w:pPr>
      <w:r>
        <w:t>Retours / remboursements avec traçabilité.</w:t>
      </w:r>
    </w:p>
    <w:p>
      <w:pPr>
        <w:pStyle w:val="ListBullet"/>
        <w:spacing w:after="40"/>
      </w:pPr>
      <w:r>
        <w:t>Notifications internes : objectifs atteints, stock faible ou événements importants.</w:t>
      </w:r>
    </w:p>
    <w:p>
      <w:pPr>
        <w:pStyle w:val="ListBullet"/>
        <w:spacing w:after="40"/>
      </w:pPr>
      <w:r>
        <w:t>Mode hors connexion de base avec synchronisation lorsque la connexion revient.</w:t>
      </w:r>
    </w:p>
    <w:p>
      <w:pPr>
        <w:pStyle w:val="ListBullet"/>
        <w:spacing w:after="40"/>
      </w:pPr>
      <w:r>
        <w:t>Interface optimisée smartphone et ordinateur.</w:t>
      </w:r>
    </w:p>
    <w:p>
      <w:pPr>
        <w:pStyle w:val="Heading1"/>
        <w:pageBreakBefore/>
      </w:pPr>
      <w:r>
        <w:t>3. Proposition financière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1247"/>
        <w:gridCol w:w="1417"/>
        <w:gridCol w:w="1814"/>
      </w:tblGrid>
      <w:tr>
        <w:trPr>
          <w:tblHeader w:val="true"/>
        </w:trPr>
        <w:tc>
          <w:tcPr>
            <w:tcW w:type="dxa" w:w="2550"/>
            <w:shd w:fill="1212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Prestation</w:t>
            </w:r>
          </w:p>
        </w:tc>
        <w:tc>
          <w:tcPr>
            <w:tcW w:type="dxa" w:w="2550"/>
            <w:shd w:fill="1212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Charge</w:t>
            </w:r>
          </w:p>
        </w:tc>
        <w:tc>
          <w:tcPr>
            <w:tcW w:type="dxa" w:w="2550"/>
            <w:shd w:fill="1212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Montant</w:t>
            </w:r>
          </w:p>
        </w:tc>
        <w:tc>
          <w:tcPr>
            <w:tcW w:type="dxa" w:w="2550"/>
            <w:shd w:fill="1212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Observation</w:t>
            </w:r>
          </w:p>
        </w:tc>
      </w:tr>
      <w:tr>
        <w:trPr>
          <w:cantSplit/>
        </w:trPr>
        <w:tc>
          <w:tcPr>
            <w:tcW w:type="dxa" w:w="4422"/>
            <w:shd w:fill="FAFA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Socle ventes, utilisateurs, catalogue et points de vente</w:t>
            </w:r>
          </w:p>
        </w:tc>
        <w:tc>
          <w:tcPr>
            <w:tcW w:type="dxa" w:w="1247"/>
            <w:shd w:fill="FAFA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1 j</w:t>
            </w:r>
          </w:p>
        </w:tc>
        <w:tc>
          <w:tcPr>
            <w:tcW w:type="dxa" w:w="1417"/>
            <w:shd w:fill="FAFA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sz w:val="17"/>
              </w:rPr>
              <w:t>40 000</w:t>
            </w:r>
          </w:p>
        </w:tc>
        <w:tc>
          <w:tcPr>
            <w:tcW w:type="dxa" w:w="1814"/>
            <w:shd w:fill="FAFA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Développement principal</w:t>
            </w:r>
          </w:p>
        </w:tc>
      </w:tr>
      <w:tr>
        <w:trPr>
          <w:cantSplit/>
        </w:trPr>
        <w:tc>
          <w:tcPr>
            <w:tcW w:type="dxa" w:w="4422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Dashboard, rapports, KPI et export Excel</w:t>
            </w:r>
          </w:p>
        </w:tc>
        <w:tc>
          <w:tcPr>
            <w:tcW w:type="dxa" w:w="1247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0,5-1 j</w:t>
            </w:r>
          </w:p>
        </w:tc>
        <w:tc>
          <w:tcPr>
            <w:tcW w:type="dxa" w:w="1417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sz w:val="17"/>
              </w:rPr>
              <w:t>20 000</w:t>
            </w:r>
          </w:p>
        </w:tc>
        <w:tc>
          <w:tcPr>
            <w:tcW w:type="dxa" w:w="1814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Pilotage commercial</w:t>
            </w:r>
          </w:p>
        </w:tc>
      </w:tr>
      <w:tr>
        <w:trPr>
          <w:cantSplit/>
        </w:trPr>
        <w:tc>
          <w:tcPr>
            <w:tcW w:type="dxa" w:w="4422"/>
            <w:shd w:fill="FAFA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Objectifs, primes et règles commerciales</w:t>
            </w:r>
          </w:p>
        </w:tc>
        <w:tc>
          <w:tcPr>
            <w:tcW w:type="dxa" w:w="1247"/>
            <w:shd w:fill="FAFA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0,5 j</w:t>
            </w:r>
          </w:p>
        </w:tc>
        <w:tc>
          <w:tcPr>
            <w:tcW w:type="dxa" w:w="1417"/>
            <w:shd w:fill="FAFA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sz w:val="17"/>
              </w:rPr>
              <w:t>10 000</w:t>
            </w:r>
          </w:p>
        </w:tc>
        <w:tc>
          <w:tcPr>
            <w:tcW w:type="dxa" w:w="1814"/>
            <w:shd w:fill="FAFA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Paramétrage simple</w:t>
            </w:r>
          </w:p>
        </w:tc>
      </w:tr>
      <w:tr>
        <w:trPr>
          <w:cantSplit/>
        </w:trPr>
        <w:tc>
          <w:tcPr>
            <w:tcW w:type="dxa" w:w="4422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Stock complet + retours / remboursements</w:t>
            </w:r>
          </w:p>
        </w:tc>
        <w:tc>
          <w:tcPr>
            <w:tcW w:type="dxa" w:w="1247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1 j</w:t>
            </w:r>
          </w:p>
        </w:tc>
        <w:tc>
          <w:tcPr>
            <w:tcW w:type="dxa" w:w="1417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sz w:val="17"/>
              </w:rPr>
              <w:t>25 000</w:t>
            </w:r>
          </w:p>
        </w:tc>
        <w:tc>
          <w:tcPr>
            <w:tcW w:type="dxa" w:w="1814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Mouvements et traçabilité</w:t>
            </w:r>
          </w:p>
        </w:tc>
      </w:tr>
      <w:tr>
        <w:trPr>
          <w:cantSplit/>
        </w:trPr>
        <w:tc>
          <w:tcPr>
            <w:tcW w:type="dxa" w:w="4422"/>
            <w:shd w:fill="FAFA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Notifications + mode hors connexion / synchronisation</w:t>
            </w:r>
          </w:p>
        </w:tc>
        <w:tc>
          <w:tcPr>
            <w:tcW w:type="dxa" w:w="1247"/>
            <w:shd w:fill="FAFA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0,5-1 j</w:t>
            </w:r>
          </w:p>
        </w:tc>
        <w:tc>
          <w:tcPr>
            <w:tcW w:type="dxa" w:w="1417"/>
            <w:shd w:fill="FAFA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sz w:val="17"/>
              </w:rPr>
              <w:t>15 000</w:t>
            </w:r>
          </w:p>
        </w:tc>
        <w:tc>
          <w:tcPr>
            <w:tcW w:type="dxa" w:w="1814"/>
            <w:shd w:fill="FAFA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PWA / usage terrain</w:t>
            </w:r>
          </w:p>
        </w:tc>
      </w:tr>
      <w:tr>
        <w:trPr>
          <w:cantSplit/>
        </w:trPr>
        <w:tc>
          <w:tcPr>
            <w:tcW w:type="dxa" w:w="4422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Tests, déploiement et prise en main</w:t>
            </w:r>
          </w:p>
        </w:tc>
        <w:tc>
          <w:tcPr>
            <w:tcW w:type="dxa" w:w="1247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Inclus</w:t>
            </w:r>
          </w:p>
        </w:tc>
        <w:tc>
          <w:tcPr>
            <w:tcW w:type="dxa" w:w="1417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sz w:val="17"/>
              </w:rPr>
              <w:t>10 000</w:t>
            </w:r>
          </w:p>
        </w:tc>
        <w:tc>
          <w:tcPr>
            <w:tcW w:type="dxa" w:w="1814"/>
            <w:shd w:fill="F2F2F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7"/>
              </w:rPr>
              <w:t>Recette et mise en service</w:t>
            </w:r>
          </w:p>
        </w:tc>
      </w:tr>
      <w:tr>
        <w:trPr>
          <w:cantSplit/>
        </w:trPr>
        <w:tc>
          <w:tcPr>
            <w:tcW w:type="dxa" w:w="5669"/>
            <w:gridSpan w:val="2"/>
            <w:shd w:fill="F1E8D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976D1F"/>
                <w:sz w:val="19"/>
              </w:rPr>
              <w:t>FORFAIT GLOBAL - VERSION COMPLÈTE</w:t>
            </w:r>
          </w:p>
        </w:tc>
        <w:tc>
          <w:tcPr>
            <w:tcW w:type="dxa" w:w="1417"/>
            <w:shd w:fill="F1E8D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121212"/>
                <w:sz w:val="22"/>
              </w:rPr>
              <w:t>120 000 FCFA</w:t>
            </w:r>
          </w:p>
        </w:tc>
        <w:tc>
          <w:tcPr>
            <w:tcW w:type="dxa" w:w="1814"/>
            <w:shd w:fill="F1E8D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Tout le périmètre validé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1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976D1F"/>
                <w:sz w:val="21"/>
              </w:rPr>
              <w:t>Option budget serré - 80 000 FCFA</w:t>
            </w:r>
          </w:p>
          <w:p>
            <w:pPr>
              <w:spacing w:after="0"/>
            </w:pPr>
            <w:r>
              <w:t>Même socle ventes + dashboard + objectifs + stock simplifié + retours simples. Le stock complet, le mode hors connexion avancé et certaines notifications sont reportés en évolution.</w:t>
            </w:r>
          </w:p>
        </w:tc>
      </w:tr>
    </w:tbl>
    <w:p>
      <w:pPr>
        <w:pStyle w:val="Heading1"/>
      </w:pPr>
      <w:r>
        <w:t>4. Délais estimatifs</w:t>
      </w:r>
    </w:p>
    <w:p>
      <w:r>
        <w:rPr>
          <w:b/>
        </w:rPr>
        <w:t xml:space="preserve">Version complète : </w:t>
      </w:r>
      <w:r>
        <w:t>3 à 5 jours ouvrés à compter de la validation du devis, de la disponibilité des données de base (vendeurs, produits, points de vente) et du versement de l'acompte.</w:t>
      </w:r>
    </w:p>
    <w:p>
      <w:r>
        <w:rPr>
          <w:b/>
        </w:rPr>
        <w:t xml:space="preserve">Version allégée : </w:t>
      </w:r>
      <w:r>
        <w:t>1 à 3 jours ouvrés selon les éléments fournis.</w:t>
      </w:r>
    </w:p>
    <w:p>
      <w:pPr>
        <w:pStyle w:val="Heading1"/>
      </w:pPr>
      <w:r>
        <w:t>5. Modalités de paiement</w:t>
      </w:r>
    </w:p>
    <w:p>
      <w:pPr>
        <w:pStyle w:val="ListBullet"/>
        <w:spacing w:after="40"/>
      </w:pPr>
      <w:r>
        <w:t>50 % à la validation et au démarrage de la prestation.</w:t>
      </w:r>
    </w:p>
    <w:p>
      <w:pPr>
        <w:pStyle w:val="ListBullet"/>
        <w:spacing w:after="40"/>
      </w:pPr>
      <w:r>
        <w:t>50 % à la livraison de la version fonctionnelle et mise en production.</w:t>
      </w:r>
    </w:p>
    <w:p>
      <w:pPr>
        <w:pStyle w:val="ListBullet"/>
        <w:spacing w:after="40"/>
      </w:pPr>
      <w:r>
        <w:t>Toute évolution non comprise dans le périmètre ci-dessus fera l'objet d'un chiffrage séparé.</w:t>
      </w:r>
    </w:p>
    <w:p>
      <w:pPr>
        <w:pStyle w:val="Heading1"/>
      </w:pPr>
      <w:r>
        <w:t>6. Conditions et exclusions</w:t>
      </w:r>
    </w:p>
    <w:p>
      <w:pPr>
        <w:pStyle w:val="ListBullet"/>
        <w:spacing w:after="40"/>
      </w:pPr>
      <w:r>
        <w:t>Les coûts d'hébergement, domaine, SMS, WhatsApp ou autres services tiers ne sont pas inclus dans les honoraires ci-dessus.</w:t>
      </w:r>
    </w:p>
    <w:p>
      <w:pPr>
        <w:pStyle w:val="ListBullet"/>
        <w:spacing w:after="40"/>
      </w:pPr>
      <w:r>
        <w:t>Les notifications prévues dans le forfait sont des notifications applicatives/web ; toute intégration SMS ou WhatsApp dépend d'un service tiers.</w:t>
      </w:r>
    </w:p>
    <w:p>
      <w:pPr>
        <w:pStyle w:val="ListBullet"/>
        <w:spacing w:after="40"/>
      </w:pPr>
      <w:r>
        <w:t>Le mode hors connexion prévu est un fonctionnement PWA de base avec synchronisation ; une gestion avancée des conflits de synchronisation n'est pas comprise.</w:t>
      </w:r>
    </w:p>
    <w:p>
      <w:pPr>
        <w:pStyle w:val="ListBullet"/>
        <w:spacing w:after="40"/>
      </w:pPr>
      <w:r>
        <w:t>Une période de 7 jours après livraison couvre les corrections de bugs liés au périmètre validé.</w:t>
      </w:r>
    </w:p>
    <w:p>
      <w:pPr>
        <w:pStyle w:val="ListBullet"/>
        <w:spacing w:after="40"/>
      </w:pPr>
      <w:r>
        <w:t>Les nouvelles fonctionnalités, changements majeurs de règles métier ou extensions du périmètre sont facturés séparément.</w:t>
      </w:r>
    </w:p>
    <w:p>
      <w:pPr>
        <w:pStyle w:val="Heading1"/>
      </w:pPr>
      <w:r>
        <w:t>7. Validation</w:t>
      </w:r>
    </w:p>
    <w:p>
      <w:r>
        <w:rPr>
          <w:b/>
        </w:rPr>
        <w:t xml:space="preserve">Option retenue :   </w:t>
      </w:r>
      <w:r>
        <w:t>[      ] Version complète - 120 000 FCFA     [      ] Version allégée - 80 000 FCFA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cantSplit/>
        </w:trPr>
        <w:tc>
          <w:tcPr>
            <w:tcW w:type="dxa" w:w="5100"/>
            <w:tcMar>
              <w:top w:w="120" w:type="dxa"/>
              <w:start w:w="110" w:type="dxa"/>
              <w:bottom w:w="120" w:type="dxa"/>
              <w:end w:w="110" w:type="dxa"/>
            </w:tcMar>
            <w:shd w:fill="F6F1E6"/>
          </w:tcPr>
          <w:p>
            <w:r>
              <w:rPr>
                <w:b/>
                <w:color w:val="976D1F"/>
                <w:sz w:val="18"/>
              </w:rPr>
              <w:t>Pour XEPTION</w:t>
            </w:r>
          </w:p>
        </w:tc>
        <w:tc>
          <w:tcPr>
            <w:tcW w:type="dxa" w:w="5100"/>
            <w:tcMar>
              <w:top w:w="120" w:type="dxa"/>
              <w:start w:w="110" w:type="dxa"/>
              <w:bottom w:w="120" w:type="dxa"/>
              <w:end w:w="110" w:type="dxa"/>
            </w:tcMar>
            <w:shd w:fill="F6F1E6"/>
          </w:tcPr>
          <w:p>
            <w:r>
              <w:rPr>
                <w:rFonts w:ascii="Aptos" w:hAnsi="Aptos"/>
                <w:b/>
                <w:color w:val="976D1F"/>
                <w:sz w:val="18"/>
              </w:rPr>
              <w:t>Consultante Informatique - Jennifer Lawrynn Aka'a</w:t>
            </w:r>
          </w:p>
        </w:tc>
      </w:tr>
      <w:tr>
        <w:trPr>
          <w:cantSplit/>
        </w:trPr>
        <w:tc>
          <w:tcPr>
            <w:tcW w:type="dxa" w:w="510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sz w:val="18"/>
              </w:rPr>
              <w:t>Nom :</w:t>
            </w:r>
          </w:p>
        </w:tc>
        <w:tc>
          <w:tcPr>
            <w:tcW w:type="dxa" w:w="510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t>Nom : Jennifer Lawrynn Aka'a</w:t>
            </w:r>
          </w:p>
        </w:tc>
      </w:tr>
      <w:tr>
        <w:trPr>
          <w:cantSplit/>
        </w:trPr>
        <w:tc>
          <w:tcPr>
            <w:tcW w:type="dxa" w:w="510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sz w:val="18"/>
              </w:rPr>
              <w:t>Date :</w:t>
            </w:r>
          </w:p>
        </w:tc>
        <w:tc>
          <w:tcPr>
            <w:tcW w:type="dxa" w:w="510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sz w:val="18"/>
              </w:rPr>
              <w:t>Date : 20 août 2026</w:t>
            </w:r>
          </w:p>
        </w:tc>
      </w:tr>
      <w:tr>
        <w:trPr>
          <w:cantSplit/>
        </w:trPr>
        <w:tc>
          <w:tcPr>
            <w:tcW w:type="dxa" w:w="510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sz w:val="18"/>
              </w:rPr>
              <w:t>Signature / Bon pour accord :</w:t>
            </w:r>
          </w:p>
        </w:tc>
        <w:tc>
          <w:tcPr>
            <w:tcW w:type="dxa" w:w="510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Segoe Script" w:hAnsi="Segoe Script"/>
                <w:b/>
                <w:i/>
                <w:color w:val="121212"/>
                <w:sz w:val="32"/>
              </w:rPr>
              <w:t>Signature :</w:t>
              <w:br/>
              <w:t>JLA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5F5F"/>
        <w:sz w:val="16"/>
      </w:rPr>
      <w:t>Devis provisoire - établi après validation du cadrage fonctionnel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F5F5F"/>
        <w:sz w:val="16"/>
      </w:rPr>
      <w:t>XEPTION | Proposition financière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212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976D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121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120"/>
    </w:pPr>
    <w:rPr>
      <w:rFonts w:ascii="Aptos" w:hAnsi="Aptos"/>
      <w:b/>
      <w:color w:val="C79A3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