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Advisory CB/ADV/2026/07</w:t>
      </w:r>
    </w:p>
    <w:p>
      <w:r>
        <w:t>Issued 20 March 2026 | Classification: Restricted</w:t>
      </w:r>
    </w:p>
    <w:p>
      <w:pPr>
        <w:pStyle w:val="Heading2"/>
      </w:pPr>
      <w:r>
        <w:t>Summary</w:t>
      </w:r>
    </w:p>
    <w:p>
      <w:r>
        <w:t>Following incident CB/IR/2026/0412, 37 user credentials were confirmed compromised. All affected accounts have been reset.</w:t>
      </w:r>
    </w:p>
    <w:p>
      <w:pPr>
        <w:pStyle w:val="Heading2"/>
      </w:pPr>
      <w:r>
        <w:t>Required Action</w:t>
      </w:r>
    </w:p>
    <w:p>
      <w:r>
        <w:t>Enforce multi-factor authentication on all privileged accounts.</w:t>
      </w:r>
    </w:p>
    <w:p>
      <w:r>
        <w:t>Extend authentication log retention to 180 days.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Credentials compromised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Offices affected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