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Graphiques dans un document</w:t>
      </w:r>
    </w:p>
    <w:p>
      <w:r>
        <w:t>Colonnes groupées</w:t>
      </w:r>
    </w:p>
    <w:p>
      <w:r>
        <w:drawing>
          <wp:inline distT="0" distB="0" distL="0" distR="0">
            <wp:extent cx="5486400" cy="3200400"/>
            <wp:effectExtent l="0" t="0" r="0" b="0"/>
            <wp:docPr id="10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p>
      <w:r>
        <w:t>Texte après le graphique.</w:t>
      </w:r>
    </w:p>
    <w:p>
      <w:r>
        <w:t>Courbes</w:t>
      </w:r>
    </w:p>
    <w:p>
      <w:r>
        <w:drawing>
          <wp:inline distT="0" distB="0" distL="0" distR="0">
            <wp:extent cx="5486400" cy="3200400"/>
            <wp:effectExtent l="0" t="0" r="0" b="0"/>
            <wp:docPr id="10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r>
        <w:t>Texte après le graphique.</w:t>
      </w:r>
    </w:p>
    <w:p>
      <w:r>
        <w:t>Secteurs</w:t>
      </w:r>
    </w:p>
    <w:p>
      <w:r>
        <w:drawing>
          <wp:inline distT="0" distB="0" distL="0" distR="0">
            <wp:extent cx="5486400" cy="3200400"/>
            <wp:effectExtent l="0" t="0" r="0" b="0"/>
            <wp:docPr id="10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r>
        <w:t>Texte après le graphique.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Nord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44.8</c:v>
                </c:pt>
                <c:pt idx="1">
                  <c:v>43.1</c:v>
                </c:pt>
                <c:pt idx="2">
                  <c:v>44.5</c:v>
                </c:pt>
                <c:pt idx="3">
                  <c:v>42.7</c:v>
                </c:pt>
                <c:pt idx="4">
                  <c:v>44.1</c:v>
                </c:pt>
                <c:pt idx="5">
                  <c:v>42.4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Sud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33.1</c:v>
                </c:pt>
                <c:pt idx="1">
                  <c:v>31.4</c:v>
                </c:pt>
                <c:pt idx="2">
                  <c:v>32.8</c:v>
                </c:pt>
                <c:pt idx="3">
                  <c:v>31.0</c:v>
                </c:pt>
                <c:pt idx="4">
                  <c:v>32.4</c:v>
                </c:pt>
                <c:pt idx="5">
                  <c:v>33.8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Ouest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19.4</c:v>
                </c:pt>
                <c:pt idx="1">
                  <c:v>20.8</c:v>
                </c:pt>
                <c:pt idx="2">
                  <c:v>19.1</c:v>
                </c:pt>
                <c:pt idx="3">
                  <c:v>20.5</c:v>
                </c:pt>
                <c:pt idx="4">
                  <c:v>18.7</c:v>
                </c:pt>
                <c:pt idx="5">
                  <c:v>20.1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1800"/>
      </a:pPr>
      <a:endParaRPr lang="en-US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Nord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44.8</c:v>
                </c:pt>
                <c:pt idx="1">
                  <c:v>43.1</c:v>
                </c:pt>
                <c:pt idx="2">
                  <c:v>44.5</c:v>
                </c:pt>
                <c:pt idx="3">
                  <c:v>42.7</c:v>
                </c:pt>
                <c:pt idx="4">
                  <c:v>44.1</c:v>
                </c:pt>
                <c:pt idx="5">
                  <c:v>42.4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Sud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33.1</c:v>
                </c:pt>
                <c:pt idx="1">
                  <c:v>31.4</c:v>
                </c:pt>
                <c:pt idx="2">
                  <c:v>32.8</c:v>
                </c:pt>
                <c:pt idx="3">
                  <c:v>31.0</c:v>
                </c:pt>
                <c:pt idx="4">
                  <c:v>32.4</c:v>
                </c:pt>
                <c:pt idx="5">
                  <c:v>33.8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Ouest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19.4</c:v>
                </c:pt>
                <c:pt idx="1">
                  <c:v>20.8</c:v>
                </c:pt>
                <c:pt idx="2">
                  <c:v>19.1</c:v>
                </c:pt>
                <c:pt idx="3">
                  <c:v>20.5</c:v>
                </c:pt>
                <c:pt idx="4">
                  <c:v>18.7</c:v>
                </c:pt>
                <c:pt idx="5">
                  <c:v>20.1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/>
        <c:delete val="0"/>
        <c:axPos val="l"/>
        <c:majorGridlines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Nord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Fév</c:v>
                </c:pt>
                <c:pt idx="2">
                  <c:v>Mar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44.8</c:v>
                </c:pt>
                <c:pt idx="1">
                  <c:v>43.1</c:v>
                </c:pt>
                <c:pt idx="2">
                  <c:v>44.5</c:v>
                </c:pt>
                <c:pt idx="3">
                  <c:v>42.7</c:v>
                </c:pt>
                <c:pt idx="4">
                  <c:v>44.1</c:v>
                </c:pt>
                <c:pt idx="5">
                  <c:v>42.4</c:v>
                </c:pt>
              </c:numCache>
            </c:numRef>
          </c:val>
        </c:ser>
      </c:pieChart>
    </c:plotArea>
    <c:legend>
      <c:legendPos val="b"/>
      <c:overlay val="0"/>
    </c:legend>
    <c:dispBlanksAs val="gap"/>
  </c:chart>
  <c:txPr>
    <a:bodyPr/>
    <a:lstStyle/>
    <a:p>
      <a:pPr>
        <a:defRPr sz="1800"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