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Rapport d’essai</w:t>
      </w:r>
    </w:p>
    <w:p>
      <w:pPr>
        <w:pStyle w:val="Normal"/>
        <w:bidi w:val="0"/>
        <w:jc w:val="left"/>
        <w:rPr/>
      </w:pPr>
      <w:r>
        <w:rPr/>
        <w:t xml:space="preserve">Texte </w:t>
      </w:r>
      <w:r>
        <w:rPr>
          <w:b/>
        </w:rPr>
        <w:t>gras</w:t>
      </w:r>
      <w:r>
        <w:rPr/>
        <w:t xml:space="preserve">, </w:t>
      </w:r>
      <w:r>
        <w:rPr>
          <w:i/>
          <w:color w:val="1155CC"/>
        </w:rPr>
        <w:t>italique bleu</w:t>
      </w:r>
      <w:r>
        <w:rPr/>
        <w:t xml:space="preserve"> et </w:t>
      </w:r>
      <w:r>
        <w:rPr>
          <w:u w:val="single"/>
          <w:shd w:fill="FFFF00" w:val="clear"/>
        </w:rPr>
        <w:t>souligné surligné</w:t>
      </w:r>
      <w:r>
        <w:rPr/>
        <w:t>.</w:t>
      </w:r>
      <w:r>
        <w:rPr>
          <w:rStyle w:val="FootnoteReference"/>
        </w:rPr>
        <w:footnoteReference w:id="2"/>
      </w:r>
      <w:r>
        <w:rPr/>
        <w:t xml:space="preserve"> Voir </w:t>
      </w:r>
      <w:hyperlink r:id="rId2">
        <w:r>
          <w:rPr>
            <w:rStyle w:val="Hyperlink"/>
          </w:rPr>
          <w:t>le site</w:t>
        </w:r>
      </w:hyperlink>
      <w:r>
        <w:rPr/>
        <w:t>.</w:t>
      </w:r>
    </w:p>
    <w:p>
      <w:pPr>
        <w:pStyle w:val="Normal"/>
        <w:bidi w:val="0"/>
        <w:jc w:val="center"/>
        <w:rPr/>
      </w:pPr>
      <w:r>
        <w:rPr/>
        <w:t>Paragraphe centré.</w:t>
      </w:r>
    </w:p>
    <w:p>
      <w:pPr>
        <w:pStyle w:val="Heading2"/>
        <w:bidi w:val="0"/>
        <w:ind w:hanging="0" w:left="0"/>
        <w:jc w:val="left"/>
        <w:rPr/>
      </w:pPr>
      <w:r>
        <w:rPr/>
        <w:t>Listes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Premier point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Sous-point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Deuxième point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Étape un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Étape deux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4"/>
        <w:gridCol w:w="3024"/>
        <w:gridCol w:w="3024"/>
      </w:tblGrid>
      <w:tr>
        <w:trPr/>
        <w:tc>
          <w:tcPr>
            <w:tcW w:w="6048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A+B</w:t>
            </w:r>
          </w:p>
        </w:tc>
        <w:tc>
          <w:tcPr>
            <w:tcW w:w="3024" w:type="dxa"/>
            <w:vMerge w:val="restart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 (2 lignes)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A2</w:t>
            </w:r>
          </w:p>
        </w:tc>
        <w:tc>
          <w:tcPr>
            <w:tcW w:w="30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B2</w:t>
            </w:r>
          </w:p>
        </w:tc>
        <w:tc>
          <w:tcPr>
            <w:tcW w:w="3024" w:type="dxa"/>
            <w:vMerge w:val="continue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Image : </w:t>
      </w:r>
      <w:r>
        <w:rPr/>
        <w:drawing>
          <wp:inline distT="0" distB="0" distL="0" distR="0">
            <wp:extent cx="720090" cy="360045"/>
            <wp:effectExtent l="0" t="0" r="0" b="0"/>
            <wp:docPr id="1" name="img1" descr="Rectangle ro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 descr="Rectangle roug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t>Fin du document.</w:t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1906" w:h="16838"/>
      <w:pgMar w:left="1417" w:right="1417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Une note de bas de page.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>En-tête du rapport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)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 Devanagari"/>
      <w:b/>
      <w:color w:val="auto"/>
      <w:kern w:val="2"/>
      <w:sz w:val="40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Noto Serif CJK SC" w:cs="Noto Sans Devanagari"/>
      <w:b/>
      <w:color w:val="auto"/>
      <w:kern w:val="2"/>
      <w:sz w:val="32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L1">
    <w:name w:val="L1"/>
    <w:qFormat/>
  </w:style>
  <w:style w:type="numbering" w:styleId="L2">
    <w:name w:val="L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utilsenligne.ca/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