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after="80"/>
        <w:jc w:val="center"/>
      </w:pPr>
      <w:r>
        <w:rPr>
          <w:b/>
          <w:bCs/>
          <w:color w:val="000000"/>
          <w:sz w:val="32"/>
          <w:szCs w:val="32"/>
          <w:rFonts w:ascii="Times New Roman" w:cs="Times New Roman" w:eastAsia="Times New Roman" w:hAnsi="Times New Roman"/>
        </w:rPr>
        <w:t xml:space="preserve">ПАРТНЁРСКОЕ СОГЛАШЕНИЕ СООСНОВАТЕЛЕЙ ПРОЕКТА PICONSTRUCT</w:t>
      </w:r>
    </w:p>
    <w:p>
      <w:pPr>
        <w:spacing w:line="360" w:after="80"/>
        <w:jc w:val="center"/>
      </w:pPr>
      <w:r>
        <w:rPr>
          <w:i/>
          <w:iCs/>
          <w:color w:val="000000"/>
          <w:sz w:val="22"/>
          <w:szCs w:val="22"/>
          <w:rFonts w:ascii="Times New Roman" w:cs="Times New Roman" w:eastAsia="Times New Roman" w:hAnsi="Times New Roman"/>
        </w:rPr>
        <w:t xml:space="preserve">(прототип для обсуждения)</w:t>
      </w:r>
    </w:p>
    <w:p>
      <w:pPr>
        <w:spacing w:line="320" w:after="160"/>
        <w:jc w:val="right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г. ____________ — «___» __________ 2026 г.</w:t>
      </w:r>
    </w:p>
    <w:p>
      <w:pPr>
        <w:spacing w:line="360" w:after="80"/>
        <w:ind w:firstLine="708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Документ подготовлен как прототип: он фиксирует структуру и ключевые условия, которые команда №1 проекта PiConstruct согласовала для проработки. Перед подписанием документ подлежит проверке юристом; номера статей приведены справочно по действующему законодательству РФ.</w:t>
      </w:r>
    </w:p>
    <w:p>
      <w:pPr>
        <w:pStyle w:val="Heading2"/>
        <w:spacing w:line="360" w:before="240" w:after="120"/>
        <w:jc w:val="left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Стороны</w:t>
      </w:r>
    </w:p>
    <w:p>
      <w:pPr>
        <w:spacing w:line="360" w:after="80"/>
        <w:ind w:firstLine="708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Нижеподписавшиеся граждане Российской Федерации, далее совместно — «Участники», по отдельности — «Участник»:</w:t>
      </w:r>
    </w:p>
    <w:p>
      <w:pPr>
        <w:spacing w:line="320" w:after="40"/>
        <w:ind w:left="567" w:hanging="567"/>
        <w:jc w:val="both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Участник 1 — 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Савельев Сергей [паспорт: серия, номер, кем и когда выдан, адрес регистрации]</w:t>
      </w:r>
    </w:p>
    <w:p>
      <w:pPr>
        <w:spacing w:line="320" w:after="40"/>
        <w:ind w:left="567" w:hanging="567"/>
        <w:jc w:val="both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Участник 2 — 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Овчаренко Константин [паспорт: серия, номер, кем и когда выдан, адрес регистрации]</w:t>
      </w:r>
    </w:p>
    <w:p>
      <w:pPr>
        <w:spacing w:line="320" w:after="40"/>
        <w:ind w:left="567" w:hanging="567"/>
        <w:jc w:val="both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Участник 3 — 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Валянский Андрей [паспорт: серия, номер, кем и когда выдан, адрес регистрации]</w:t>
      </w:r>
    </w:p>
    <w:p>
      <w:pPr>
        <w:spacing w:line="320" w:after="40"/>
        <w:ind w:left="567" w:hanging="567"/>
        <w:jc w:val="both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Участник 4 — 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Миняев Тимофей [паспорт: серия, номер, кем и когда выдан, адрес регистрации]</w:t>
      </w:r>
    </w:p>
    <w:p>
      <w:pPr>
        <w:spacing w:line="320" w:after="40"/>
        <w:ind w:left="567" w:hanging="567"/>
        <w:jc w:val="both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Участник 5 — 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Паркаев Илья [паспорт: серия, номер, кем и когда выдан, адрес регистрации]</w:t>
      </w:r>
    </w:p>
    <w:p>
      <w:pPr>
        <w:pStyle w:val="Heading2"/>
        <w:spacing w:line="360" w:before="240" w:after="120"/>
        <w:jc w:val="left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1. Предмет соглашения</w:t>
      </w:r>
    </w:p>
    <w:p>
      <w:pPr>
        <w:spacing w:line="360" w:after="80"/>
        <w:ind w:left="567" w:hanging="567"/>
        <w:jc w:val="both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1.1. 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Участники объединяют усилия для разработки, развития и коммерциализации веб-сервиса PiConstruct — конструктора цифровых табло для предприятий общественного питания (далее — «Проект», «Продукт»).</w:t>
      </w:r>
    </w:p>
    <w:p>
      <w:pPr>
        <w:spacing w:line="360" w:after="80"/>
        <w:ind w:left="567" w:hanging="567"/>
        <w:jc w:val="both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1.2. 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>Участники намерены учредить общество с ограниченной ответственностью (далее — «Компания») на условиях раздела 2 настоящего соглашения. До учреждения Компании отношения Участников регулируются настоящим соглашением как договором, не предусмотренным законом (п. 2 ст. 421 ГК РФ). Соглашение не является договором простого товарищества: сторонами такого договора для предпринимательской деятельности могут быть только индивидуальные предприниматели и коммерческие организации (п. 2 ст. 1041 ГК РФ).</w:t>
      </w:r>
    </w:p>
    <w:p>
      <w:pPr>
        <w:spacing w:line="360" w:after="80"/>
        <w:ind w:left="567" w:hanging="567"/>
        <w:jc w:val="both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1.3. 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Термины: «Исключительные права» — исключительные права на результаты интеллектуальной деятельности; «Вестинг» — порядок постепенного закрепления долей, установленный разделом 4; «Ключевые решения» — решения, указанные в п. 5.3.</w:t>
      </w:r>
    </w:p>
    <w:p>
      <w:pPr>
        <w:pStyle w:val="Heading2"/>
        <w:spacing w:line="360" w:before="240" w:after="120"/>
        <w:jc w:val="left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2. Вклады и доли</w:t>
      </w:r>
    </w:p>
    <w:p>
      <w:pPr>
        <w:spacing w:line="360" w:after="80"/>
        <w:ind w:left="567" w:hanging="567"/>
        <w:jc w:val="both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2.1. 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Вкладом каждого Участника являются: профессиональные знания и навыки, рабочее время (занятость на старте: 1,0 FTE — Участники 1–3; 0,75 FTE — Участники 4–5), а также исключительные права на созданные к дате подписания результаты, передаваемые в соответствии с разделом 7.</w:t>
      </w:r>
    </w:p>
    <w:p>
      <w:pPr>
        <w:spacing w:line="360" w:after="80"/>
        <w:ind w:left="567" w:hanging="567"/>
        <w:jc w:val="both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2.2. 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>Доли Участников в Компании устанавливаются с учётом вклада, загрузки (п. 2.1) и рисков каждого Участника: Участник 1 — ___%; Участник 2 — ___%; Участник 3 — ___%; Участник 4 — ___%; Участник 5 — ___% уставного капитала. Значения согласуются Участниками до подписания настоящего соглашения; закрепление долей во времени обеспечивается Вестингом.</w:t>
      </w:r>
    </w:p>
    <w:p>
      <w:pPr>
        <w:spacing w:line="360" w:after="80"/>
        <w:ind w:left="567" w:hanging="567"/>
        <w:jc w:val="both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2.3. 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>Уставный капитал Компании — 10 000 (десять тысяч) рублей, вносится деньгами каждым Участником пропорционально его доле.</w:t>
      </w:r>
    </w:p>
    <w:p>
      <w:pPr>
        <w:spacing w:line="360" w:after="80"/>
        <w:ind w:left="567" w:hanging="567"/>
        <w:jc w:val="both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2.4. 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>До учреждения Компании доли в настоящем соглашении определяют порядок распределения прибыли и взаимных прав Участников (порядок голосования — раздел 5); юридическую силу в отношении третьих лиц они приобретают с момента регистрации Компании.</w:t>
      </w:r>
    </w:p>
    <w:p>
      <w:pPr>
        <w:pStyle w:val="Heading2"/>
        <w:spacing w:line="360" w:before="240" w:after="120"/>
        <w:jc w:val="left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3. Роли и ответственность</w:t>
      </w:r>
    </w:p>
    <w:p>
      <w:pPr>
        <w:spacing w:line="360" w:after="80"/>
        <w:ind w:left="567" w:hanging="567"/>
        <w:jc w:val="both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3.1. 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Зоны ответственности: Продукт и архитектура — Участник 2; фронтенд-разработка — Участник 3; маркетинг и продажи — Участник 4; аналитика и метрики — Участник 5; дизайн, координация команды и внешние коммуникации — Участник 1.</w:t>
      </w:r>
    </w:p>
    <w:p>
      <w:pPr>
        <w:spacing w:line="360" w:after="80"/>
        <w:ind w:left="567" w:hanging="567"/>
        <w:jc w:val="both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3.2. 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>Полномочия единоличного исполнительного органа Компании по решению общего собрания передаются управляющему — индивидуальному предпринимателю Участнику 1 (Савельев С.) по договору с Компанией (ст. 42 Федерального закона «Об обществах с ограниченной ответственностью»). Действия без отдельного решения Участников: сделки на сумму до 100 000 (ста тысяч) рублей; приём текущих операционных решений в пределах бюджета.</w:t>
      </w:r>
    </w:p>
    <w:p>
      <w:pPr>
        <w:spacing w:line="360" w:after="80"/>
        <w:ind w:left="567" w:hanging="567"/>
        <w:jc w:val="both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3.3. 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Каждый Участник обязуется выполнять задачи своей зоны в согласованные сроки; систематическое (два и более раз подряд) срывание согласованных сроков без уважительной причины выносится на общее собрание.</w:t>
      </w:r>
    </w:p>
    <w:p>
      <w:pPr>
        <w:pStyle w:val="Heading2"/>
        <w:spacing w:line="360" w:before="240" w:after="120"/>
        <w:jc w:val="left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4. Вестинг</w:t>
      </w:r>
    </w:p>
    <w:p>
      <w:pPr>
        <w:spacing w:line="360" w:after="80"/>
        <w:ind w:left="567" w:hanging="567"/>
        <w:jc w:val="both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4.1. 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Доля каждого Участника закрепляется за ним (вестится) по графику: первые 12 (двенадцать) месяцев с даты учреждения Компании (клифф) — 0%; далее — равными долями по 1/48 в месяц до 100% через 48 месяцев.</w:t>
      </w:r>
    </w:p>
    <w:p>
      <w:pPr>
        <w:spacing w:line="360" w:after="80"/>
        <w:ind w:left="567" w:hanging="567"/>
        <w:jc w:val="both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4.2. 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При выходе Участника до полного вестинга невестированная часть его доли подлежит передаче оставшимся Участникам пропорционально их долям (по номинальной стоимости).</w:t>
      </w:r>
    </w:p>
    <w:p>
      <w:pPr>
        <w:spacing w:line="360" w:after="80"/>
        <w:ind w:left="567" w:hanging="567"/>
        <w:jc w:val="both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4.3. 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Механика передачи долей оформляется в Компании корпоративным договором и опционами (ст. 429.2 ГК РФ); сделки с долями совершаются в нотариальной форме (ст. 21 Федерального закона «Об обществах с ограниченной ответственностью»).</w:t>
      </w:r>
    </w:p>
    <w:p>
      <w:pPr>
        <w:spacing w:line="360" w:after="80"/>
        <w:ind w:left="567" w:hanging="567"/>
        <w:jc w:val="both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4.4. 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Вестинг Участника ускоряется до 100% при продаже Компании или смене контроля по вине остальных Участников.</w:t>
      </w:r>
    </w:p>
    <w:p>
      <w:pPr>
        <w:pStyle w:val="Heading2"/>
        <w:spacing w:line="360" w:before="240" w:after="120"/>
        <w:jc w:val="left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5. Принятие решений</w:t>
      </w:r>
    </w:p>
    <w:p>
      <w:pPr>
        <w:spacing w:line="360" w:after="80"/>
        <w:ind w:left="567" w:hanging="567"/>
        <w:jc w:val="both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5.1. 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>До учреждения Компании каждый Участник имеет один голос; после учреждения Участники голосуют пропорционально своим долям (ст. 32 Федерального закона «Об обществах с ограниченной ответственностью»). Кворум — все пять Участников; мнение выражается очно, в видеоконференции или письменно.</w:t>
      </w:r>
    </w:p>
    <w:p>
      <w:pPr>
        <w:spacing w:line="360" w:after="80"/>
        <w:ind w:left="567" w:hanging="567"/>
        <w:jc w:val="both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5.2. 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>Текущие решения (операционный план, бюджет до 500 000 рублей в квартал, найм исполнителей, ценообразование в рамках утверждённой стратегии) принимаются большинством: до учреждения Компании — не менее 3 из 5 голосов, после учреждения — более половины голосов Участников.</w:t>
      </w:r>
    </w:p>
    <w:p>
      <w:pPr>
        <w:spacing w:line="360" w:after="80"/>
        <w:ind w:left="567" w:hanging="567"/>
        <w:jc w:val="both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5.3. 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>Ключевые решения принимаются квалифицированным большинством — до учреждения Компании не менее 4 из 5 голосов, после учреждения не менее 3/4 голосов Участников: (1) приём новых и выход действующих Участников; (2) продажа, залог долей третьим лицам; (3) привлечение финансирования с размыванием долей; (4) сделки на сумму свыше 500 000 (пятисот тысяч) рублей; (5) смена продуктового направления Проекта. Решения о реорганизации и ликвидации Компании принимаются всеми Участниками единогласно (ст. 37 Федерального закона «Об обществах с ограниченной ответственностью»).</w:t>
      </w:r>
    </w:p>
    <w:p>
      <w:pPr>
        <w:spacing w:line="360" w:after="80"/>
        <w:ind w:left="567" w:hanging="567"/>
        <w:jc w:val="both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5.4. 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До учреждения Компании решения фиксируются протоколом общего собрания, подписываемым всеми Участниками.</w:t>
      </w:r>
    </w:p>
    <w:p>
      <w:pPr>
        <w:pStyle w:val="Heading2"/>
        <w:spacing w:line="360" w:before="240" w:after="120"/>
        <w:jc w:val="left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6. Конкуренция и конфиденциальность</w:t>
      </w:r>
    </w:p>
    <w:p>
      <w:pPr>
        <w:spacing w:line="360" w:after="80"/>
        <w:ind w:left="567" w:hanging="567"/>
        <w:jc w:val="both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6.1. 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В период участия в Проекте Участник не вправе участвовать (в т.ч. как работник, консультант, инвестор) в проектах, конкурирующих с Проектом: цифровые табло и конструкторы контента для предприятий общественного питания.</w:t>
      </w:r>
    </w:p>
    <w:p>
      <w:pPr>
        <w:spacing w:line="360" w:after="80"/>
        <w:ind w:left="567" w:hanging="567"/>
        <w:jc w:val="both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6.2. 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>После прекращения участия в Проекте ограничение конкуренции не применяется; бывший Участник соблюдает конфиденциальность (п. 6.3) и не использует конфиденциальную информацию Проекта в конкурирующей деятельности.</w:t>
      </w:r>
    </w:p>
    <w:p>
      <w:pPr>
        <w:spacing w:line="360" w:after="80"/>
        <w:ind w:left="567" w:hanging="567"/>
        <w:jc w:val="both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6.3. 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Конфиденциальная информация (исходный код, база клиентов и регистраций, финансовая модель, условия договоров, метрики) не раскрывается третьим лицам без решения общего собрания в течение всего срока действия соглашения и 3 (трёх) лет после его прекращения. Исключения — информация, ставшая общедоступной не по вине Участника, и раскрытие по законному требованию.</w:t>
      </w:r>
    </w:p>
    <w:p>
      <w:pPr>
        <w:pStyle w:val="Heading2"/>
        <w:spacing w:line="360" w:before="240" w:after="120"/>
        <w:jc w:val="left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7. Интеллектуальная собственность</w:t>
      </w:r>
    </w:p>
    <w:p>
      <w:pPr>
        <w:spacing w:line="360" w:after="80"/>
        <w:ind w:left="567" w:hanging="567"/>
        <w:jc w:val="both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7.1. 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Участник обязуется передать Компании (до её учреждения — индивидуальному предпринимателю Участника 1, после учреждения — Компании) исключительные права на все результаты интеллектуальной деятельности, созданные им в рамках Проекта, по договору об отчуждении исключительного права (ст. 1234 ГК РФ).</w:t>
      </w:r>
    </w:p>
    <w:p>
      <w:pPr>
        <w:spacing w:line="360" w:after="80"/>
        <w:ind w:left="567" w:hanging="567"/>
        <w:jc w:val="both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7.2. 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Права на результаты, созданные до даты подписания (программный код конструктора, серверной части и сборщика образов; дизайн-система; логотип; тексты и материалы), передаются одновременно с подписанием настоящего соглашения по актам приёма-передачи (Приложение 1).</w:t>
      </w:r>
    </w:p>
    <w:p>
      <w:pPr>
        <w:spacing w:line="360" w:after="80"/>
        <w:ind w:left="567" w:hanging="567"/>
        <w:jc w:val="both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7.3. 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Результаты, создаваемые после подписания, передаются ежеквартально по акту; до передачи Участник не вправе распоряжаться ими и использует их только в интересах Проекта.</w:t>
      </w:r>
    </w:p>
    <w:p>
      <w:pPr>
        <w:spacing w:line="360" w:after="80"/>
        <w:ind w:left="567" w:hanging="567"/>
        <w:jc w:val="both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7.4. 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Авторство сохраняется за Участниками; Компании принадлежат исключительные права. Моральные права (право авторства, право на имя) не отчуждаются.</w:t>
      </w:r>
    </w:p>
    <w:p>
      <w:pPr>
        <w:pStyle w:val="Heading2"/>
        <w:spacing w:line="360" w:before="240" w:after="120"/>
        <w:jc w:val="left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8. Выход участника</w:t>
      </w:r>
    </w:p>
    <w:p>
      <w:pPr>
        <w:spacing w:line="360" w:after="80"/>
        <w:ind w:left="567" w:hanging="567"/>
        <w:jc w:val="both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8.1. 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Участник вправе выйти из Проекта, уведомив остальных за 30 (тридцать) календарных дней письменно.</w:t>
      </w:r>
    </w:p>
    <w:p>
      <w:pPr>
        <w:spacing w:line="360" w:after="80"/>
        <w:ind w:left="567" w:hanging="567"/>
        <w:jc w:val="both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8.2. 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Вестированная часть доли выходящего Участника выкупается оставшимися Участниками или Компанией по справедливой оценке, определённой независимым оценщиком; Участники пользуются правом преимущественной покупки пропорционально своим долям. Невестированная часть передается по номинальной стоимости в порядке п. 4.2.</w:t>
      </w:r>
    </w:p>
    <w:p>
      <w:pPr>
        <w:spacing w:line="360" w:after="80"/>
        <w:ind w:left="567" w:hanging="567"/>
        <w:jc w:val="both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8.3. 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>Выходящий Участник передаёт дела и материалы своей зоны в течение 10 (десяти) рабочих дней с даты прекращения участия; обязательства по п. 6.2 и конфиденциальность (п. 6.3) сохраняются.</w:t>
      </w:r>
    </w:p>
    <w:p>
      <w:pPr>
        <w:spacing w:line="360" w:after="80"/>
        <w:ind w:left="567" w:hanging="567"/>
        <w:jc w:val="both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8.4. 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При смерти или длительной (более 6 месяцев) нетрудоспособности Участника его вестированная доля выкупается на условиях п. 8.2; наследники права участия в Проекте не приобретают.</w:t>
      </w:r>
    </w:p>
    <w:p>
      <w:pPr>
        <w:pStyle w:val="Heading2"/>
        <w:spacing w:line="360" w:before="240" w:after="120"/>
        <w:jc w:val="left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9. Прибыль и расходы</w:t>
      </w:r>
    </w:p>
    <w:p>
      <w:pPr>
        <w:spacing w:line="360" w:after="80"/>
        <w:ind w:left="567" w:hanging="567"/>
        <w:jc w:val="both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9.1. 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Расходы Проекта покрываются из его выручки; решения о расходах свыше бюджета принимаются по п. 5.2–5.3.</w:t>
      </w:r>
    </w:p>
    <w:p>
      <w:pPr>
        <w:spacing w:line="360" w:after="80"/>
        <w:ind w:left="567" w:hanging="567"/>
        <w:jc w:val="both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9.2. 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Прибыль распределяется после покрытия расходов и формирования резерва на операционные затраты на 6 (шесть) месяцев; распределение — пропорционально долям.</w:t>
      </w:r>
    </w:p>
    <w:p>
      <w:pPr>
        <w:spacing w:line="360" w:after="80"/>
        <w:ind w:left="567" w:hanging="567"/>
        <w:jc w:val="both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9.3. 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До формирования резерва, предусмотренного п. 9.2, выплаты Участникам не производятся. Участие в Проекте не является трудовым отношением; вознаграждением Участника является его доля.</w:t>
      </w:r>
    </w:p>
    <w:p>
      <w:pPr>
        <w:pStyle w:val="Heading2"/>
        <w:spacing w:line="360" w:before="240" w:after="120"/>
        <w:jc w:val="left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10. Разрешение споров</w:t>
      </w:r>
    </w:p>
    <w:p>
      <w:pPr>
        <w:spacing w:line="360" w:after="80"/>
        <w:ind w:left="567" w:hanging="567"/>
        <w:jc w:val="both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10.1. 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Споры решаются переговорами в течение 15 (пятнадцати) календарных дней с даты письменной претензии.</w:t>
      </w:r>
    </w:p>
    <w:p>
      <w:pPr>
        <w:spacing w:line="360" w:after="80"/>
        <w:ind w:left="567" w:hanging="567"/>
        <w:jc w:val="both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10.2. 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При недостижении согласия спор передаётся в суд по правилам подсудности: до учреждения Компании — в суд общей юрисдикции, после учреждения — в арбитражный суд.</w:t>
      </w:r>
    </w:p>
    <w:p>
      <w:pPr>
        <w:pStyle w:val="Heading2"/>
        <w:spacing w:line="360" w:before="240" w:after="120"/>
        <w:jc w:val="left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11. Заключительные положения</w:t>
      </w:r>
    </w:p>
    <w:p>
      <w:pPr>
        <w:spacing w:line="360" w:after="80"/>
        <w:ind w:left="567" w:hanging="567"/>
        <w:jc w:val="both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11.1. 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Соглашение вступает в силу с даты подписания всеми Участниками и действует до внесения его условий в устав и корпоративный договор Компании либо до расторжения всеми Участниками.</w:t>
      </w:r>
    </w:p>
    <w:p>
      <w:pPr>
        <w:spacing w:line="360" w:after="80"/>
        <w:ind w:left="567" w:hanging="567"/>
        <w:jc w:val="both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11.2. 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Изменения оформляются письменным дополнением, подписанным всеми Участниками.</w:t>
      </w:r>
    </w:p>
    <w:p>
      <w:pPr>
        <w:spacing w:line="360" w:after="80"/>
        <w:ind w:left="567" w:hanging="567"/>
        <w:jc w:val="both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11.3. 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При учреждении Компании положения разделов 2–9 переносятся в устав и корпоративный договор (ст. 67.2 ГК РФ, ст. 11 Федерального закона «Об обществах с ограниченной ответственностью»); в части, не урегулированной ими, соглашение продолжает применяться.</w:t>
      </w:r>
    </w:p>
    <w:p>
      <w:pPr>
        <w:spacing w:line="360" w:after="80"/>
        <w:ind w:left="567" w:hanging="567"/>
        <w:jc w:val="both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11.4. 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Соглашение составлено в 5 (пяти) экземплярах по одному для каждого Участника. Приложение 1 (перечень передаваемых результатов интеллектуальной деятельности с актами приёма-передачи) — неотъемлемая часть соглашения.</w:t>
      </w:r>
    </w:p>
    <w:p>
      <w:pPr>
        <w:pageBreakBefore/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Подписи сторон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420"/>
              <w:bottom w:type="dxa" w:w="40"/>
              <w:right w:type="dxa" w:w="60"/>
            </w:tcMar>
          </w:tcPr>
          <w:p>
            <w:pPr>
              <w:spacing w:line="320"/>
            </w:pPr>
            <w:r>
              <w:rPr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Участник 1 (Савельев Сергей)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60"/>
              <w:bottom w:type="dxa" w:w="40"/>
              <w:right w:type="dxa" w:w="60"/>
            </w:tcMar>
          </w:tcPr>
          <w:p>
            <w:pPr>
              <w:spacing w:line="320"/>
            </w:pPr>
            <w:r>
              <w:rPr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_________________ / ______________________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60"/>
              <w:bottom w:type="dxa" w:w="40"/>
              <w:right w:type="dxa" w:w="60"/>
            </w:tcMar>
          </w:tcPr>
          <w:p>
            <w:pPr>
              <w:spacing w:line="320"/>
            </w:pPr>
            <w:r>
              <w:rPr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«___» __________ 2026 г.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420"/>
              <w:bottom w:type="dxa" w:w="40"/>
              <w:right w:type="dxa" w:w="60"/>
            </w:tcMar>
          </w:tcPr>
          <w:p>
            <w:pPr>
              <w:spacing w:line="320"/>
            </w:pPr>
            <w:r>
              <w:rPr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Участник 2 (Овчаренко Константин)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60"/>
              <w:bottom w:type="dxa" w:w="40"/>
              <w:right w:type="dxa" w:w="60"/>
            </w:tcMar>
          </w:tcPr>
          <w:p>
            <w:pPr>
              <w:spacing w:line="320"/>
            </w:pPr>
            <w:r>
              <w:rPr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_________________ / ______________________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60"/>
              <w:bottom w:type="dxa" w:w="40"/>
              <w:right w:type="dxa" w:w="60"/>
            </w:tcMar>
          </w:tcPr>
          <w:p>
            <w:pPr>
              <w:spacing w:line="320"/>
            </w:pPr>
            <w:r>
              <w:rPr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«___» __________ 2026 г.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420"/>
              <w:bottom w:type="dxa" w:w="40"/>
              <w:right w:type="dxa" w:w="60"/>
            </w:tcMar>
          </w:tcPr>
          <w:p>
            <w:pPr>
              <w:spacing w:line="320"/>
            </w:pPr>
            <w:r>
              <w:rPr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Участник 3 (Валянский Андрей)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60"/>
              <w:bottom w:type="dxa" w:w="40"/>
              <w:right w:type="dxa" w:w="60"/>
            </w:tcMar>
          </w:tcPr>
          <w:p>
            <w:pPr>
              <w:spacing w:line="320"/>
            </w:pPr>
            <w:r>
              <w:rPr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_________________ / ______________________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60"/>
              <w:bottom w:type="dxa" w:w="40"/>
              <w:right w:type="dxa" w:w="60"/>
            </w:tcMar>
          </w:tcPr>
          <w:p>
            <w:pPr>
              <w:spacing w:line="320"/>
            </w:pPr>
            <w:r>
              <w:rPr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«___» __________ 2026 г.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420"/>
              <w:bottom w:type="dxa" w:w="40"/>
              <w:right w:type="dxa" w:w="60"/>
            </w:tcMar>
          </w:tcPr>
          <w:p>
            <w:pPr>
              <w:spacing w:line="320"/>
            </w:pPr>
            <w:r>
              <w:rPr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Участник 4 (Миняев Тимофей)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60"/>
              <w:bottom w:type="dxa" w:w="40"/>
              <w:right w:type="dxa" w:w="60"/>
            </w:tcMar>
          </w:tcPr>
          <w:p>
            <w:pPr>
              <w:spacing w:line="320"/>
            </w:pPr>
            <w:r>
              <w:rPr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_________________ / ______________________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60"/>
              <w:bottom w:type="dxa" w:w="40"/>
              <w:right w:type="dxa" w:w="60"/>
            </w:tcMar>
          </w:tcPr>
          <w:p>
            <w:pPr>
              <w:spacing w:line="320"/>
            </w:pPr>
            <w:r>
              <w:rPr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«___» __________ 2026 г.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420"/>
              <w:bottom w:type="dxa" w:w="40"/>
              <w:right w:type="dxa" w:w="60"/>
            </w:tcMar>
          </w:tcPr>
          <w:p>
            <w:pPr>
              <w:spacing w:line="320"/>
            </w:pPr>
            <w:r>
              <w:rPr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Участник 5 (Паркаев Илья)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60"/>
              <w:bottom w:type="dxa" w:w="40"/>
              <w:right w:type="dxa" w:w="60"/>
            </w:tcMar>
          </w:tcPr>
          <w:p>
            <w:pPr>
              <w:spacing w:line="320"/>
            </w:pPr>
            <w:r>
              <w:rPr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_________________ / ______________________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60"/>
              <w:bottom w:type="dxa" w:w="40"/>
              <w:right w:type="dxa" w:w="60"/>
            </w:tcMar>
          </w:tcPr>
          <w:p>
            <w:pPr>
              <w:spacing w:line="320"/>
            </w:pPr>
            <w:r>
              <w:rPr>
                <w:color w:val="000000"/>
                <w:sz w:val="24"/>
                <w:szCs w:val="24"/>
                <w:rFonts w:ascii="Times New Roman" w:cs="Times New Roman" w:eastAsia="Times New Roman" w:hAnsi="Times New Roman"/>
              </w:rPr>
              <w:t xml:space="preserve">«___» __________ 2026 г.</w:t>
            </w:r>
          </w:p>
        </w:tc>
      </w:tr>
    </w:tbl>
    <w:sectPr>
      <w:pgSz w:w="11906" w:h="16838" w:orient="portrait"/>
      <w:pgMar w:top="1701" w:right="1134" w:bottom="1701" w:left="226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00000"/>
        <w:sz w:val="24"/>
        <w:szCs w:val="24"/>
        <w:rFonts w:ascii="Times New Roman" w:cs="Times New Roman" w:eastAsia="Times New Roman" w:hAnsi="Times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26"/>
      <w:szCs w:val="26"/>
      <w:rFonts w:ascii="Times New Roman" w:cs="Times New Roman" w:eastAsia="Times New Roman" w:hAnsi="Times New Roman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2026-10-25T21:55:26.905Z</dcterms:created>
  <dcterms:modified xsi:type="dcterms:W3CDTF">2026-10-25T21:55:26.910Z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