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0"/>
        </w:rPr>
        <w:t>Housing Price Regression — Summary Report</w:t>
      </w:r>
    </w:p>
    <w:p>
      <w:pPr>
        <w:spacing w:after="120"/>
        <w:jc w:val="center"/>
      </w:pPr>
      <w:r>
        <w:rPr>
          <w:b/>
          <w:sz w:val="22"/>
        </w:rPr>
        <w:t>XYlofy Internship — Week 1 Assignment</w:t>
      </w:r>
      <w:r>
        <w:br/>
      </w:r>
      <w:r>
        <w:rPr>
          <w:i/>
          <w:sz w:val="20"/>
        </w:rPr>
        <w:t>Author: Eakansh Kshirsagar  |  Dataset: Housing.csv (545 rows, 13 columns)</w:t>
      </w:r>
      <w:r>
        <w:br/>
      </w:r>
      <w:r>
        <w:rPr>
          <w:i/>
          <w:sz w:val="20"/>
        </w:rPr>
        <w:t>Tools Used: Python 3, Pandas, NumPy, Scikit-learn, Matplotlib, Seaborn</w:t>
      </w:r>
    </w:p>
    <w:p>
      <w:pPr>
        <w:pStyle w:val="Heading2"/>
        <w:spacing w:before="240" w:after="80"/>
      </w:pPr>
      <w:r>
        <w:t>Objective</w:t>
      </w:r>
    </w:p>
    <w:p>
      <w:pPr>
        <w:spacing w:after="160"/>
      </w:pPr>
      <w:r>
        <w:rPr>
          <w:sz w:val="22"/>
        </w:rPr>
        <w:t>The goal of this project is to build a regression model that predicts house prices based on property features such as area, number of bedrooms, bathrooms, stories, parking spaces, and various amenities. Two models — Linear Regression and Random Forest Regressor — were trained, evaluated, and compared to determine which approach yields better predictions. Additionally, the analysis identifies which features most strongly influence a property’s market price.</w:t>
      </w:r>
    </w:p>
    <w:p>
      <w:pPr>
        <w:pStyle w:val="Heading2"/>
        <w:spacing w:before="160" w:after="80"/>
      </w:pPr>
      <w:r>
        <w:t>Data Cleaning</w:t>
      </w:r>
    </w:p>
    <w:p>
      <w:pPr>
        <w:spacing w:after="160"/>
      </w:pPr>
      <w:r>
        <w:rPr>
          <w:sz w:val="22"/>
        </w:rPr>
        <w:t>The dataset was thoroughly inspected for quality issues. No missing values or duplicate rows were found, confirming the data was already in good condition. Six categorical columns containing yes/no values (mainroad, guestroom, basement, hotwaterheating, airconditioning, prefarea) and one multi-category column (furnishingstatus) were converted into numeric form using one-hot encoding with drop_first=True to avoid multicollinearity. All resulting boolean columns were cast to integers (0/1) for full compatibility with scikit-learn models.</w:t>
      </w:r>
    </w:p>
    <w:p>
      <w:pPr>
        <w:pStyle w:val="Heading2"/>
        <w:spacing w:before="160" w:after="120"/>
      </w:pPr>
      <w:r>
        <w:t>Model Performance</w:t>
      </w:r>
    </w:p>
    <w:tbl>
      <w:tblPr>
        <w:tblStyle w:val="MediumShading1-Accent1"/>
        <w:tblW w:type="auto" w:w="0"/>
        <w:tblLook w:firstColumn="1" w:firstRow="1" w:lastColumn="0" w:lastRow="0" w:noHBand="0" w:noVBand="1" w:val="04A0"/>
      </w:tblPr>
      <w:tblGrid>
        <w:gridCol w:w="2340"/>
        <w:gridCol w:w="2340"/>
        <w:gridCol w:w="2340"/>
        <w:gridCol w:w="2340"/>
      </w:tblGrid>
      <w:tr>
        <w:tc>
          <w:tcPr>
            <w:tcW w:type="dxa" w:w="2340"/>
          </w:tcPr>
          <w:p>
            <w:r/>
            <w:r>
              <w:rPr>
                <w:b/>
                <w:sz w:val="21"/>
              </w:rPr>
              <w:t>Model</w:t>
            </w:r>
          </w:p>
        </w:tc>
        <w:tc>
          <w:tcPr>
            <w:tcW w:type="dxa" w:w="2340"/>
          </w:tcPr>
          <w:p>
            <w:r/>
            <w:r>
              <w:rPr>
                <w:b/>
                <w:sz w:val="21"/>
              </w:rPr>
              <w:t>MAE</w:t>
            </w:r>
          </w:p>
        </w:tc>
        <w:tc>
          <w:tcPr>
            <w:tcW w:type="dxa" w:w="2340"/>
          </w:tcPr>
          <w:p>
            <w:r/>
            <w:r>
              <w:rPr>
                <w:b/>
                <w:sz w:val="21"/>
              </w:rPr>
              <w:t>RMSE</w:t>
            </w:r>
          </w:p>
        </w:tc>
        <w:tc>
          <w:tcPr>
            <w:tcW w:type="dxa" w:w="2340"/>
          </w:tcPr>
          <w:p>
            <w:r/>
            <w:r>
              <w:rPr>
                <w:b/>
                <w:sz w:val="21"/>
              </w:rPr>
              <w:t>R-squared</w:t>
            </w:r>
          </w:p>
        </w:tc>
      </w:tr>
      <w:tr>
        <w:tc>
          <w:tcPr>
            <w:tcW w:type="dxa" w:w="2340"/>
          </w:tcPr>
          <w:p>
            <w:r/>
            <w:r>
              <w:rPr>
                <w:sz w:val="21"/>
              </w:rPr>
              <w:t>Linear Regression</w:t>
            </w:r>
          </w:p>
        </w:tc>
        <w:tc>
          <w:tcPr>
            <w:tcW w:type="dxa" w:w="2340"/>
          </w:tcPr>
          <w:p>
            <w:r/>
            <w:r>
              <w:rPr>
                <w:sz w:val="21"/>
              </w:rPr>
              <w:t>970,043</w:t>
            </w:r>
          </w:p>
        </w:tc>
        <w:tc>
          <w:tcPr>
            <w:tcW w:type="dxa" w:w="2340"/>
          </w:tcPr>
          <w:p>
            <w:r/>
            <w:r>
              <w:rPr>
                <w:sz w:val="21"/>
              </w:rPr>
              <w:t>1,324,507</w:t>
            </w:r>
          </w:p>
        </w:tc>
        <w:tc>
          <w:tcPr>
            <w:tcW w:type="dxa" w:w="2340"/>
          </w:tcPr>
          <w:p>
            <w:r/>
            <w:r>
              <w:rPr>
                <w:sz w:val="21"/>
              </w:rPr>
              <w:t>0.653</w:t>
            </w:r>
          </w:p>
        </w:tc>
      </w:tr>
      <w:tr>
        <w:tc>
          <w:tcPr>
            <w:tcW w:type="dxa" w:w="2340"/>
          </w:tcPr>
          <w:p>
            <w:r/>
            <w:r>
              <w:rPr>
                <w:sz w:val="21"/>
              </w:rPr>
              <w:t>Random Forest</w:t>
            </w:r>
          </w:p>
        </w:tc>
        <w:tc>
          <w:tcPr>
            <w:tcW w:type="dxa" w:w="2340"/>
          </w:tcPr>
          <w:p>
            <w:r/>
            <w:r>
              <w:rPr>
                <w:sz w:val="21"/>
              </w:rPr>
              <w:t>1,013,969</w:t>
            </w:r>
          </w:p>
        </w:tc>
        <w:tc>
          <w:tcPr>
            <w:tcW w:type="dxa" w:w="2340"/>
          </w:tcPr>
          <w:p>
            <w:r/>
            <w:r>
              <w:rPr>
                <w:sz w:val="21"/>
              </w:rPr>
              <w:t>1,398,116</w:t>
            </w:r>
          </w:p>
        </w:tc>
        <w:tc>
          <w:tcPr>
            <w:tcW w:type="dxa" w:w="2340"/>
          </w:tcPr>
          <w:p>
            <w:r/>
            <w:r>
              <w:rPr>
                <w:sz w:val="21"/>
              </w:rPr>
              <w:t>0.613</w:t>
            </w:r>
          </w:p>
        </w:tc>
      </w:tr>
    </w:tbl>
    <w:p>
      <w:pPr>
        <w:spacing w:before="120" w:after="160"/>
      </w:pPr>
      <w:r>
        <w:rPr>
          <w:sz w:val="22"/>
        </w:rPr>
        <w:t>Linear Regression achieves a higher R-squared (0.653) and lower MAE (970,043), making it the slightly better model for this dataset. Random Forest delivers competitive results with an R-squared of 0.613. Both models explain approximately 61–65% of the variance in house prices.</w:t>
      </w:r>
    </w:p>
    <w:p>
      <w:pPr>
        <w:pStyle w:val="Heading2"/>
        <w:spacing w:before="160" w:after="80"/>
      </w:pPr>
      <w:r>
        <w:t>Key Insights &amp; Recommendation</w:t>
      </w:r>
    </w:p>
    <w:p>
      <w:pPr>
        <w:spacing w:after="120"/>
      </w:pPr>
      <w:r>
        <w:rPr>
          <w:b/>
          <w:sz w:val="22"/>
        </w:rPr>
        <w:t xml:space="preserve">Most Influential Features: </w:t>
      </w:r>
      <w:r>
        <w:rPr>
          <w:sz w:val="22"/>
        </w:rPr>
        <w:t>The Random Forest feature importance analysis reveals that area (46.9%), bathrooms (15.3%), and air conditioning (6.0%) are the top three predictors of house price. The total area of a property is, by a wide margin, the single strongest driver of its market value.</w:t>
      </w:r>
    </w:p>
    <w:p>
      <w:pPr>
        <w:spacing w:after="120"/>
      </w:pPr>
      <w:r>
        <w:rPr>
          <w:b/>
          <w:sz w:val="22"/>
        </w:rPr>
        <w:t xml:space="preserve">Surprising Discovery: </w:t>
      </w:r>
      <w:r>
        <w:rPr>
          <w:sz w:val="22"/>
        </w:rPr>
        <w:t>Area dominates the prediction far more than bedroom count, suggesting that buyers prioritize total living space over how many rooms a house is divided into. Air conditioning availability also had a notably strong effect on price — more than parking, stories, or basement presence.</w:t>
      </w:r>
    </w:p>
    <w:p>
      <w:pPr>
        <w:spacing w:after="120"/>
      </w:pPr>
      <w:r>
        <w:rPr>
          <w:b/>
          <w:sz w:val="22"/>
        </w:rPr>
        <w:t xml:space="preserve">Recommendation: </w:t>
      </w:r>
      <w:r>
        <w:rPr>
          <w:sz w:val="22"/>
        </w:rPr>
        <w:t>Real estate businesses should ensure that area measurements are precise and prominently featured in listings. Properties with air conditioning should highlight this amenity, and sellers without AC should consider installation as a value-adding investment before listing.</w:t>
      </w:r>
    </w:p>
    <w:sectPr w:rsidR="00FC693F" w:rsidRPr="0006063C" w:rsidSect="00034616">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