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AA0" w14:textId="51E34B7E" w:rsidR="00F27328" w:rsidRPr="00CA4C7E" w:rsidRDefault="00F27328" w:rsidP="00F27328">
      <w:pPr>
        <w:spacing w:after="0" w:line="240" w:lineRule="auto"/>
        <w:rPr>
          <w:b/>
          <w:sz w:val="28"/>
          <w:szCs w:val="28"/>
        </w:rPr>
      </w:pPr>
      <w:r w:rsidRPr="00CA4C7E">
        <w:rPr>
          <w:b/>
          <w:sz w:val="28"/>
          <w:szCs w:val="28"/>
        </w:rPr>
        <w:t xml:space="preserve">Dengue </w:t>
      </w:r>
      <w:r w:rsidR="00232062" w:rsidRPr="00CA4C7E">
        <w:rPr>
          <w:b/>
          <w:sz w:val="28"/>
          <w:szCs w:val="28"/>
        </w:rPr>
        <w:t>Forecasting Project</w:t>
      </w:r>
    </w:p>
    <w:p w14:paraId="49F1C09C" w14:textId="77777777" w:rsidR="00F27328" w:rsidRPr="00CA4C7E" w:rsidRDefault="00F27328" w:rsidP="00F27328">
      <w:pPr>
        <w:tabs>
          <w:tab w:val="left" w:pos="720"/>
          <w:tab w:val="right" w:leader="dot" w:pos="9274"/>
        </w:tabs>
        <w:spacing w:after="0" w:line="240" w:lineRule="auto"/>
        <w:contextualSpacing/>
        <w:rPr>
          <w:b/>
        </w:rPr>
      </w:pPr>
    </w:p>
    <w:p w14:paraId="530FA2BA" w14:textId="2FF9CB16" w:rsidR="00186661" w:rsidRPr="00CA4C7E" w:rsidRDefault="00186661" w:rsidP="00F27328">
      <w:pPr>
        <w:tabs>
          <w:tab w:val="left" w:pos="720"/>
          <w:tab w:val="right" w:leader="dot" w:pos="9274"/>
        </w:tabs>
        <w:spacing w:after="0" w:line="240" w:lineRule="auto"/>
        <w:contextualSpacing/>
      </w:pPr>
      <w:r w:rsidRPr="00CA4C7E">
        <w:t>In areas where dengue is endemic,</w:t>
      </w:r>
      <w:r w:rsidR="00AE65AB" w:rsidRPr="00CA4C7E">
        <w:t xml:space="preserve"> incidence follows seasonal transmission patterns punctuated every few years by much larger epidemics. </w:t>
      </w:r>
      <w:r w:rsidRPr="00CA4C7E">
        <w:t xml:space="preserve">Because </w:t>
      </w:r>
      <w:r w:rsidR="00AE65AB" w:rsidRPr="00CA4C7E">
        <w:t xml:space="preserve">these epidemics are </w:t>
      </w:r>
      <w:r w:rsidR="00B0284A" w:rsidRPr="00CA4C7E">
        <w:t>currently unpredictable and of major consequence to the affected populations</w:t>
      </w:r>
      <w:r w:rsidRPr="00CA4C7E">
        <w:t>, the initial focus of t</w:t>
      </w:r>
      <w:r w:rsidR="00232062" w:rsidRPr="00CA4C7E">
        <w:t xml:space="preserve">he </w:t>
      </w:r>
      <w:r w:rsidR="006B05BA" w:rsidRPr="00CA4C7E">
        <w:t>pilot project</w:t>
      </w:r>
      <w:r w:rsidR="00232062" w:rsidRPr="00CA4C7E">
        <w:t xml:space="preserve"> will </w:t>
      </w:r>
      <w:r w:rsidRPr="00CA4C7E">
        <w:t xml:space="preserve">be </w:t>
      </w:r>
      <w:r w:rsidR="006B05BA" w:rsidRPr="00CA4C7E">
        <w:t xml:space="preserve">forecasting </w:t>
      </w:r>
      <w:r w:rsidR="00B0284A" w:rsidRPr="00CA4C7E">
        <w:t xml:space="preserve">key metrics for historical </w:t>
      </w:r>
      <w:r w:rsidR="006B05BA" w:rsidRPr="00CA4C7E">
        <w:t xml:space="preserve">dengue seasons using </w:t>
      </w:r>
      <w:r w:rsidR="00B0284A" w:rsidRPr="00CA4C7E">
        <w:t xml:space="preserve">only </w:t>
      </w:r>
      <w:r w:rsidR="006B05BA" w:rsidRPr="00CA4C7E">
        <w:t xml:space="preserve">data </w:t>
      </w:r>
      <w:r w:rsidR="00745EC4" w:rsidRPr="00CA4C7E">
        <w:t xml:space="preserve">from time periods </w:t>
      </w:r>
      <w:r w:rsidR="006B05BA" w:rsidRPr="00CA4C7E">
        <w:t>prior to those seasons</w:t>
      </w:r>
      <w:r w:rsidR="0090454F" w:rsidRPr="00CA4C7E">
        <w:t>.</w:t>
      </w:r>
      <w:r w:rsidR="003C067A" w:rsidRPr="00CA4C7E">
        <w:t xml:space="preserve"> The target</w:t>
      </w:r>
      <w:r w:rsidR="006B05BA" w:rsidRPr="00CA4C7E">
        <w:t xml:space="preserve">s, data, </w:t>
      </w:r>
      <w:r w:rsidR="00B0284A" w:rsidRPr="00CA4C7E">
        <w:t>forecasts</w:t>
      </w:r>
      <w:r w:rsidR="006B05BA" w:rsidRPr="00CA4C7E">
        <w:t>, and evaluation are described below.</w:t>
      </w:r>
    </w:p>
    <w:p w14:paraId="7292A36E" w14:textId="77777777" w:rsidR="0090454F" w:rsidRPr="00CA4C7E" w:rsidRDefault="0090454F" w:rsidP="007C2040">
      <w:pPr>
        <w:pStyle w:val="NoSpacing"/>
        <w:rPr>
          <w:b/>
        </w:rPr>
      </w:pPr>
    </w:p>
    <w:p w14:paraId="6C16E5A4" w14:textId="258D66E3" w:rsidR="00E2336B" w:rsidRPr="00CA4C7E" w:rsidRDefault="00E2336B" w:rsidP="007C2040">
      <w:pPr>
        <w:pStyle w:val="NoSpacing"/>
        <w:rPr>
          <w:b/>
          <w:i/>
        </w:rPr>
      </w:pPr>
      <w:r w:rsidRPr="00CA4C7E">
        <w:rPr>
          <w:b/>
          <w:i/>
        </w:rPr>
        <w:t>Overall Timeline</w:t>
      </w:r>
    </w:p>
    <w:p w14:paraId="3CB0D753" w14:textId="2EAC78DA" w:rsidR="00E2336B" w:rsidRPr="00CA4C7E" w:rsidRDefault="00B1514A" w:rsidP="00E2336B">
      <w:pPr>
        <w:pStyle w:val="NoSpacing"/>
        <w:numPr>
          <w:ilvl w:val="0"/>
          <w:numId w:val="2"/>
        </w:numPr>
      </w:pPr>
      <w:r w:rsidRPr="00CA4C7E">
        <w:t>Training d</w:t>
      </w:r>
      <w:r w:rsidR="00E2336B" w:rsidRPr="00CA4C7E">
        <w:t xml:space="preserve">ata release for </w:t>
      </w:r>
      <w:r w:rsidR="00FA6109" w:rsidRPr="00CA4C7E">
        <w:t>m</w:t>
      </w:r>
      <w:r w:rsidR="00E2336B" w:rsidRPr="00CA4C7E">
        <w:t xml:space="preserve">odel development: </w:t>
      </w:r>
      <w:r w:rsidR="00DF5E51">
        <w:t>June 5</w:t>
      </w:r>
      <w:r w:rsidR="00B84F47" w:rsidRPr="00CA4C7E">
        <w:t xml:space="preserve">, </w:t>
      </w:r>
      <w:r w:rsidR="00E2336B" w:rsidRPr="00CA4C7E">
        <w:t>2015</w:t>
      </w:r>
      <w:bookmarkStart w:id="0" w:name="_GoBack"/>
      <w:bookmarkEnd w:id="0"/>
    </w:p>
    <w:p w14:paraId="644261B8" w14:textId="5EC52E23" w:rsidR="00E2336B" w:rsidRPr="00CA4C7E" w:rsidRDefault="00B1514A" w:rsidP="00E2336B">
      <w:pPr>
        <w:pStyle w:val="NoSpacing"/>
        <w:numPr>
          <w:ilvl w:val="0"/>
          <w:numId w:val="2"/>
        </w:numPr>
      </w:pPr>
      <w:r w:rsidRPr="00CA4C7E">
        <w:t>Model description and</w:t>
      </w:r>
      <w:r w:rsidRPr="00CA4C7E" w:rsidDel="00B1514A">
        <w:t xml:space="preserve"> </w:t>
      </w:r>
      <w:r w:rsidRPr="00CA4C7E">
        <w:t>training forecasts due</w:t>
      </w:r>
      <w:r w:rsidR="00E2336B" w:rsidRPr="00CA4C7E">
        <w:t xml:space="preserve">: </w:t>
      </w:r>
      <w:r w:rsidRPr="00CA4C7E">
        <w:t>August</w:t>
      </w:r>
      <w:r w:rsidR="00E2336B" w:rsidRPr="00CA4C7E">
        <w:t xml:space="preserve"> </w:t>
      </w:r>
      <w:r w:rsidR="00B84F47" w:rsidRPr="00CA4C7E">
        <w:t xml:space="preserve">12, </w:t>
      </w:r>
      <w:r w:rsidR="00E2336B" w:rsidRPr="00CA4C7E">
        <w:t>2015</w:t>
      </w:r>
    </w:p>
    <w:p w14:paraId="012F5204" w14:textId="5015DD78" w:rsidR="00B1514A" w:rsidRPr="00CA4C7E" w:rsidRDefault="00B1514A" w:rsidP="00E2336B">
      <w:pPr>
        <w:pStyle w:val="NoSpacing"/>
        <w:numPr>
          <w:ilvl w:val="0"/>
          <w:numId w:val="2"/>
        </w:numPr>
      </w:pPr>
      <w:r w:rsidRPr="00CA4C7E">
        <w:t xml:space="preserve">Testing data release for model evaluation: August </w:t>
      </w:r>
      <w:r w:rsidR="00B84F47" w:rsidRPr="00CA4C7E">
        <w:t xml:space="preserve">19, </w:t>
      </w:r>
      <w:r w:rsidRPr="00CA4C7E">
        <w:t>2015</w:t>
      </w:r>
    </w:p>
    <w:p w14:paraId="14EB3DD3" w14:textId="3DDB2E58" w:rsidR="00B1514A" w:rsidRPr="00CA4C7E" w:rsidRDefault="00B1514A" w:rsidP="00E2336B">
      <w:pPr>
        <w:pStyle w:val="NoSpacing"/>
        <w:numPr>
          <w:ilvl w:val="0"/>
          <w:numId w:val="2"/>
        </w:numPr>
      </w:pPr>
      <w:r w:rsidRPr="00CA4C7E">
        <w:t xml:space="preserve">Testing forecasts due: September </w:t>
      </w:r>
      <w:r w:rsidR="00B84F47" w:rsidRPr="00CA4C7E">
        <w:t xml:space="preserve">2, </w:t>
      </w:r>
      <w:r w:rsidRPr="00CA4C7E">
        <w:t>2015</w:t>
      </w:r>
    </w:p>
    <w:p w14:paraId="15FD5DAF" w14:textId="6CCFF075" w:rsidR="00E2336B" w:rsidRPr="00CA4C7E" w:rsidRDefault="00E2336B" w:rsidP="00E2336B">
      <w:pPr>
        <w:pStyle w:val="NoSpacing"/>
        <w:numPr>
          <w:ilvl w:val="0"/>
          <w:numId w:val="2"/>
        </w:numPr>
      </w:pPr>
      <w:r w:rsidRPr="00CA4C7E">
        <w:t xml:space="preserve">Model and forecast evaluation workshop: </w:t>
      </w:r>
      <w:r w:rsidR="00CA4C7E">
        <w:t xml:space="preserve">date to be decided, </w:t>
      </w:r>
      <w:r w:rsidR="00B84F47" w:rsidRPr="00CA4C7E">
        <w:t xml:space="preserve">mid to late </w:t>
      </w:r>
      <w:r w:rsidR="00B1514A" w:rsidRPr="00CA4C7E">
        <w:t>September</w:t>
      </w:r>
      <w:r w:rsidR="00B84F47" w:rsidRPr="00CA4C7E">
        <w:t>,</w:t>
      </w:r>
      <w:r w:rsidRPr="00CA4C7E">
        <w:t xml:space="preserve"> 2015</w:t>
      </w:r>
    </w:p>
    <w:p w14:paraId="69333220" w14:textId="77777777" w:rsidR="00E2336B" w:rsidRPr="00CA4C7E" w:rsidRDefault="00E2336B" w:rsidP="007C2040">
      <w:pPr>
        <w:pStyle w:val="NoSpacing"/>
        <w:rPr>
          <w:b/>
        </w:rPr>
      </w:pPr>
    </w:p>
    <w:p w14:paraId="630254D9" w14:textId="76B5C455" w:rsidR="0090454F" w:rsidRPr="00CA4C7E" w:rsidRDefault="00E469DF" w:rsidP="0090454F">
      <w:pPr>
        <w:pStyle w:val="NoSpacing"/>
        <w:rPr>
          <w:b/>
          <w:i/>
        </w:rPr>
      </w:pPr>
      <w:r w:rsidRPr="00CA4C7E">
        <w:rPr>
          <w:b/>
          <w:i/>
        </w:rPr>
        <w:t>Forecast</w:t>
      </w:r>
      <w:r w:rsidR="0090454F" w:rsidRPr="00CA4C7E">
        <w:rPr>
          <w:b/>
          <w:i/>
        </w:rPr>
        <w:t xml:space="preserve"> </w:t>
      </w:r>
      <w:r w:rsidR="003C067A" w:rsidRPr="00CA4C7E">
        <w:rPr>
          <w:b/>
          <w:i/>
        </w:rPr>
        <w:t>target</w:t>
      </w:r>
      <w:r w:rsidR="0090454F" w:rsidRPr="00CA4C7E">
        <w:rPr>
          <w:b/>
          <w:i/>
        </w:rPr>
        <w:t>s</w:t>
      </w:r>
    </w:p>
    <w:p w14:paraId="41F46DDE" w14:textId="2D750B70" w:rsidR="001B0568" w:rsidRPr="00CA4C7E" w:rsidRDefault="001B0568" w:rsidP="0090454F">
      <w:pPr>
        <w:pStyle w:val="NoSpacing"/>
      </w:pPr>
      <w:r w:rsidRPr="00CA4C7E">
        <w:t>For a given transmission season (</w:t>
      </w:r>
      <w:r w:rsidR="00214177" w:rsidRPr="00CA4C7E">
        <w:t>a 12-month period commencing with the location-specific, historical lowest incidence week), the following targets will be forecasted:</w:t>
      </w:r>
    </w:p>
    <w:p w14:paraId="614C20E2" w14:textId="5BCA87A0" w:rsidR="0090454F" w:rsidRPr="00CA4C7E" w:rsidRDefault="0090454F" w:rsidP="0084029C">
      <w:pPr>
        <w:pStyle w:val="NoSpacing"/>
        <w:ind w:left="720" w:hanging="360"/>
      </w:pPr>
      <w:r w:rsidRPr="00CA4C7E">
        <w:rPr>
          <w:b/>
        </w:rPr>
        <w:t>A</w:t>
      </w:r>
      <w:r w:rsidR="007C2040" w:rsidRPr="00CA4C7E">
        <w:rPr>
          <w:b/>
        </w:rPr>
        <w:t>. Timing of peak incidence</w:t>
      </w:r>
      <w:r w:rsidR="00214177" w:rsidRPr="00CA4C7E">
        <w:t>,</w:t>
      </w:r>
      <w:r w:rsidR="007C2040" w:rsidRPr="00CA4C7E">
        <w:t xml:space="preserve"> the week when the highest incidence of dengue occurs</w:t>
      </w:r>
      <w:r w:rsidRPr="00CA4C7E">
        <w:t xml:space="preserve"> during the transmission season</w:t>
      </w:r>
      <w:r w:rsidR="00214177" w:rsidRPr="00CA4C7E">
        <w:t>,</w:t>
      </w:r>
    </w:p>
    <w:p w14:paraId="404775B5" w14:textId="04A83E03" w:rsidR="0090454F" w:rsidRPr="00CA4C7E" w:rsidRDefault="0090454F" w:rsidP="0084029C">
      <w:pPr>
        <w:pStyle w:val="NoSpacing"/>
        <w:ind w:left="720" w:hanging="360"/>
        <w:rPr>
          <w:b/>
          <w:i/>
        </w:rPr>
      </w:pPr>
      <w:r w:rsidRPr="00CA4C7E">
        <w:rPr>
          <w:b/>
        </w:rPr>
        <w:t>B</w:t>
      </w:r>
      <w:r w:rsidR="00D74C9F" w:rsidRPr="00CA4C7E">
        <w:rPr>
          <w:b/>
        </w:rPr>
        <w:t xml:space="preserve">. </w:t>
      </w:r>
      <w:r w:rsidR="00795841" w:rsidRPr="00CA4C7E">
        <w:rPr>
          <w:b/>
        </w:rPr>
        <w:t>Maximum weekly incidence</w:t>
      </w:r>
      <w:r w:rsidR="00214177" w:rsidRPr="00CA4C7E">
        <w:rPr>
          <w:b/>
        </w:rPr>
        <w:t>,</w:t>
      </w:r>
      <w:r w:rsidR="00412F5D" w:rsidRPr="00CA4C7E">
        <w:t xml:space="preserve"> </w:t>
      </w:r>
      <w:r w:rsidR="00D74C9F" w:rsidRPr="00CA4C7E">
        <w:t xml:space="preserve">the number of </w:t>
      </w:r>
      <w:r w:rsidR="003C067A" w:rsidRPr="00CA4C7E">
        <w:t xml:space="preserve">dengue </w:t>
      </w:r>
      <w:r w:rsidR="00D74C9F" w:rsidRPr="00CA4C7E">
        <w:t>cases</w:t>
      </w:r>
      <w:r w:rsidR="003C067A" w:rsidRPr="00CA4C7E">
        <w:t xml:space="preserve"> </w:t>
      </w:r>
      <w:r w:rsidR="00D74C9F" w:rsidRPr="00CA4C7E">
        <w:t xml:space="preserve">reported during </w:t>
      </w:r>
      <w:r w:rsidR="007C2040" w:rsidRPr="00CA4C7E">
        <w:t>the</w:t>
      </w:r>
      <w:r w:rsidR="00D74C9F" w:rsidRPr="00CA4C7E">
        <w:t xml:space="preserve"> week </w:t>
      </w:r>
      <w:r w:rsidR="007C2040" w:rsidRPr="00CA4C7E">
        <w:t>when incidence peaks</w:t>
      </w:r>
      <w:r w:rsidR="00214177" w:rsidRPr="00CA4C7E">
        <w:t>, and</w:t>
      </w:r>
    </w:p>
    <w:p w14:paraId="59887116" w14:textId="455FBCE6" w:rsidR="0017163D" w:rsidRPr="00CA4C7E" w:rsidRDefault="0090454F" w:rsidP="0084029C">
      <w:pPr>
        <w:pStyle w:val="NoSpacing"/>
        <w:ind w:left="720" w:hanging="360"/>
        <w:rPr>
          <w:b/>
          <w:i/>
        </w:rPr>
      </w:pPr>
      <w:r w:rsidRPr="00CA4C7E">
        <w:rPr>
          <w:b/>
        </w:rPr>
        <w:t>C</w:t>
      </w:r>
      <w:r w:rsidR="001B4B03" w:rsidRPr="00CA4C7E">
        <w:rPr>
          <w:b/>
        </w:rPr>
        <w:t xml:space="preserve">. </w:t>
      </w:r>
      <w:r w:rsidR="004B038C" w:rsidRPr="00CA4C7E">
        <w:rPr>
          <w:b/>
        </w:rPr>
        <w:t>Total n</w:t>
      </w:r>
      <w:r w:rsidR="001B4B03" w:rsidRPr="00CA4C7E">
        <w:rPr>
          <w:b/>
        </w:rPr>
        <w:t xml:space="preserve">umber of cases in </w:t>
      </w:r>
      <w:r w:rsidR="004B038C" w:rsidRPr="00CA4C7E">
        <w:rPr>
          <w:b/>
        </w:rPr>
        <w:t>a transmission season</w:t>
      </w:r>
      <w:r w:rsidR="00214177" w:rsidRPr="00CA4C7E">
        <w:t>,</w:t>
      </w:r>
      <w:r w:rsidR="00412F5D" w:rsidRPr="00CA4C7E">
        <w:t xml:space="preserve"> </w:t>
      </w:r>
      <w:r w:rsidR="00D74C9F" w:rsidRPr="00CA4C7E">
        <w:t xml:space="preserve">the </w:t>
      </w:r>
      <w:r w:rsidR="007C2040" w:rsidRPr="00CA4C7E">
        <w:t xml:space="preserve">number </w:t>
      </w:r>
      <w:r w:rsidR="003C067A" w:rsidRPr="00CA4C7E">
        <w:t xml:space="preserve">of </w:t>
      </w:r>
      <w:r w:rsidR="007C2040" w:rsidRPr="00CA4C7E">
        <w:t>dengue cases</w:t>
      </w:r>
      <w:r w:rsidR="003C067A" w:rsidRPr="00CA4C7E">
        <w:t xml:space="preserve"> (confirmed or suspected, depending on the location)</w:t>
      </w:r>
      <w:r w:rsidR="007C2040" w:rsidRPr="00CA4C7E">
        <w:t xml:space="preserve"> </w:t>
      </w:r>
      <w:r w:rsidR="001E3DFB">
        <w:t>reported</w:t>
      </w:r>
      <w:r w:rsidR="001E3DFB" w:rsidRPr="00CA4C7E">
        <w:t xml:space="preserve"> </w:t>
      </w:r>
      <w:r w:rsidR="007C2040" w:rsidRPr="00CA4C7E">
        <w:t xml:space="preserve">in the </w:t>
      </w:r>
      <w:r w:rsidR="00214177" w:rsidRPr="00CA4C7E">
        <w:t>transmission season</w:t>
      </w:r>
      <w:r w:rsidR="007C2040" w:rsidRPr="00CA4C7E">
        <w:t>.</w:t>
      </w:r>
    </w:p>
    <w:p w14:paraId="62674483" w14:textId="77777777" w:rsidR="00C45C91" w:rsidRPr="00CA4C7E" w:rsidRDefault="00C45C91" w:rsidP="009B2F3B">
      <w:pPr>
        <w:pStyle w:val="NoSpacing"/>
        <w:rPr>
          <w:b/>
        </w:rPr>
      </w:pPr>
    </w:p>
    <w:p w14:paraId="2EBC4888" w14:textId="00D8C0B3" w:rsidR="001D07C5" w:rsidRPr="00CA4C7E" w:rsidRDefault="0023726C" w:rsidP="009B2F3B">
      <w:pPr>
        <w:pStyle w:val="NoSpacing"/>
        <w:rPr>
          <w:b/>
          <w:i/>
        </w:rPr>
      </w:pPr>
      <w:r w:rsidRPr="00CA4C7E">
        <w:rPr>
          <w:b/>
          <w:i/>
        </w:rPr>
        <w:t>D</w:t>
      </w:r>
      <w:r w:rsidR="009A0A4B" w:rsidRPr="00CA4C7E">
        <w:rPr>
          <w:b/>
          <w:i/>
        </w:rPr>
        <w:t>ata</w:t>
      </w:r>
    </w:p>
    <w:p w14:paraId="574D91E8" w14:textId="41801B58" w:rsidR="009A0A4B" w:rsidRPr="00CA4C7E" w:rsidRDefault="00363B14" w:rsidP="009B2F3B">
      <w:pPr>
        <w:pStyle w:val="NoSpacing"/>
      </w:pPr>
      <w:proofErr w:type="gramStart"/>
      <w:r w:rsidRPr="00CA4C7E">
        <w:rPr>
          <w:i/>
        </w:rPr>
        <w:t>Dengue data.</w:t>
      </w:r>
      <w:proofErr w:type="gramEnd"/>
      <w:r w:rsidRPr="00CA4C7E">
        <w:t xml:space="preserve"> </w:t>
      </w:r>
      <w:r w:rsidR="009A0A4B" w:rsidRPr="00CA4C7E">
        <w:t xml:space="preserve">Historical surveillance data </w:t>
      </w:r>
      <w:r w:rsidR="000C7941" w:rsidRPr="00CA4C7E">
        <w:t>is</w:t>
      </w:r>
      <w:r w:rsidR="009A0A4B" w:rsidRPr="00CA4C7E">
        <w:t xml:space="preserve"> provided for </w:t>
      </w:r>
      <w:r w:rsidR="000C7941" w:rsidRPr="00CA4C7E">
        <w:t xml:space="preserve">two </w:t>
      </w:r>
      <w:r w:rsidR="009A0A4B" w:rsidRPr="00CA4C7E">
        <w:t>endemic locations</w:t>
      </w:r>
      <w:r w:rsidR="000C7941" w:rsidRPr="00CA4C7E">
        <w:t>: Iquitos, Peru and San Juan, Puerto Rico</w:t>
      </w:r>
      <w:r w:rsidR="009A0A4B" w:rsidRPr="00CA4C7E">
        <w:t xml:space="preserve">. </w:t>
      </w:r>
      <w:r w:rsidR="000C7941" w:rsidRPr="00CA4C7E">
        <w:t>The d</w:t>
      </w:r>
      <w:r w:rsidR="000D57AB" w:rsidRPr="00CA4C7E">
        <w:t xml:space="preserve">ata include weekly </w:t>
      </w:r>
      <w:r w:rsidR="00745EC4" w:rsidRPr="00CA4C7E">
        <w:t xml:space="preserve">laboratory-confirmed </w:t>
      </w:r>
      <w:r w:rsidR="000C7941" w:rsidRPr="00CA4C7E">
        <w:t xml:space="preserve">and serotype-specific </w:t>
      </w:r>
      <w:r w:rsidR="00745EC4" w:rsidRPr="00CA4C7E">
        <w:t>cases</w:t>
      </w:r>
      <w:r w:rsidR="000D57AB" w:rsidRPr="00CA4C7E">
        <w:t xml:space="preserve"> for each location. </w:t>
      </w:r>
      <w:r w:rsidR="003C067A" w:rsidRPr="00CA4C7E">
        <w:t xml:space="preserve">All data </w:t>
      </w:r>
      <w:r w:rsidR="000C7941" w:rsidRPr="00CA4C7E">
        <w:t>are</w:t>
      </w:r>
      <w:r w:rsidR="003C067A" w:rsidRPr="00CA4C7E">
        <w:t xml:space="preserve"> “final”, i.e. </w:t>
      </w:r>
      <w:r w:rsidR="000C7941" w:rsidRPr="00CA4C7E">
        <w:t xml:space="preserve">the case counts </w:t>
      </w:r>
      <w:r w:rsidR="003C067A" w:rsidRPr="00CA4C7E">
        <w:t xml:space="preserve">reflect all cases for each </w:t>
      </w:r>
      <w:r w:rsidR="000C7941" w:rsidRPr="00CA4C7E">
        <w:t>week</w:t>
      </w:r>
      <w:r w:rsidR="003C067A" w:rsidRPr="00CA4C7E">
        <w:t xml:space="preserve"> regardless of whether those reports were actually available at that time.</w:t>
      </w:r>
      <w:r w:rsidR="00214177" w:rsidRPr="00CA4C7E">
        <w:t xml:space="preserve"> </w:t>
      </w:r>
      <w:r w:rsidR="003C067A" w:rsidRPr="00CA4C7E">
        <w:t xml:space="preserve">Metadata and references </w:t>
      </w:r>
      <w:r w:rsidR="000C7941" w:rsidRPr="00CA4C7E">
        <w:t>are provided for each</w:t>
      </w:r>
      <w:r w:rsidR="003C067A" w:rsidRPr="00CA4C7E">
        <w:t xml:space="preserve"> dataset.</w:t>
      </w:r>
    </w:p>
    <w:p w14:paraId="01BD8827" w14:textId="77777777" w:rsidR="00EF654F" w:rsidRPr="00CA4C7E" w:rsidRDefault="00EF654F" w:rsidP="009B2F3B">
      <w:pPr>
        <w:pStyle w:val="NoSpacing"/>
      </w:pPr>
    </w:p>
    <w:p w14:paraId="6B329B31" w14:textId="6D7F43E2" w:rsidR="004C1F71" w:rsidRPr="00CA4C7E" w:rsidRDefault="00363B14" w:rsidP="004C1F71">
      <w:pPr>
        <w:pStyle w:val="NoSpacing"/>
      </w:pPr>
      <w:proofErr w:type="gramStart"/>
      <w:r w:rsidRPr="00CA4C7E">
        <w:rPr>
          <w:i/>
        </w:rPr>
        <w:t>Other data.</w:t>
      </w:r>
      <w:proofErr w:type="gramEnd"/>
      <w:r w:rsidRPr="00CA4C7E">
        <w:t xml:space="preserve"> </w:t>
      </w:r>
      <w:r w:rsidR="00013234">
        <w:t>E</w:t>
      </w:r>
      <w:r w:rsidR="008427AE" w:rsidRPr="00CA4C7E">
        <w:t xml:space="preserve">nvironmental </w:t>
      </w:r>
      <w:r w:rsidR="000C7941" w:rsidRPr="00CA4C7E">
        <w:t xml:space="preserve">data from weather stations, satellites, </w:t>
      </w:r>
      <w:r w:rsidR="00877948" w:rsidRPr="00CA4C7E">
        <w:t xml:space="preserve">and </w:t>
      </w:r>
      <w:r w:rsidR="000C7941" w:rsidRPr="00CA4C7E">
        <w:t>climate models are also</w:t>
      </w:r>
      <w:r w:rsidR="004C1F71" w:rsidRPr="00CA4C7E">
        <w:t xml:space="preserve"> provided</w:t>
      </w:r>
      <w:r w:rsidR="00877948" w:rsidRPr="00CA4C7E">
        <w:t xml:space="preserve"> along with relevant metadata</w:t>
      </w:r>
      <w:r w:rsidR="004C1F71" w:rsidRPr="00CA4C7E">
        <w:t>.</w:t>
      </w:r>
      <w:r w:rsidR="000C7941" w:rsidRPr="00CA4C7E">
        <w:t xml:space="preserve"> These data are on a daily time scale.</w:t>
      </w:r>
      <w:r w:rsidR="000E1903" w:rsidRPr="00CA4C7E">
        <w:t xml:space="preserve"> Participants may </w:t>
      </w:r>
      <w:r w:rsidR="000C7941" w:rsidRPr="00CA4C7E">
        <w:t xml:space="preserve">also </w:t>
      </w:r>
      <w:r w:rsidR="000E1903" w:rsidRPr="00CA4C7E">
        <w:t xml:space="preserve">use other data sources such as social media or demographic data, but should NOT use other data on dengue in the study locations or nearby locations unless they make </w:t>
      </w:r>
      <w:r w:rsidR="008427AE" w:rsidRPr="00CA4C7E">
        <w:t xml:space="preserve">those </w:t>
      </w:r>
      <w:r w:rsidR="00BE6CA2" w:rsidRPr="00CA4C7E">
        <w:t xml:space="preserve">data </w:t>
      </w:r>
      <w:r w:rsidR="000E1903" w:rsidRPr="00CA4C7E">
        <w:t>available to all participants</w:t>
      </w:r>
      <w:r w:rsidR="00B0284A" w:rsidRPr="00CA4C7E">
        <w:t xml:space="preserve"> through the project organizers</w:t>
      </w:r>
      <w:r w:rsidR="000E1903" w:rsidRPr="00CA4C7E">
        <w:t>.</w:t>
      </w:r>
      <w:r w:rsidR="00FA6109" w:rsidRPr="00CA4C7E">
        <w:t xml:space="preserve"> </w:t>
      </w:r>
      <w:r w:rsidR="008427AE" w:rsidRPr="00CA4C7E">
        <w:t>D</w:t>
      </w:r>
      <w:r w:rsidR="00FA6109" w:rsidRPr="00CA4C7E">
        <w:t>engue</w:t>
      </w:r>
      <w:r w:rsidR="00BE6CA2" w:rsidRPr="00CA4C7E">
        <w:t>-related</w:t>
      </w:r>
      <w:r w:rsidR="00FA6109" w:rsidRPr="00CA4C7E">
        <w:t xml:space="preserve"> data on the mosquito vectors or disease in humans from other surveillance systems or research studies</w:t>
      </w:r>
      <w:r w:rsidR="00BE6CA2" w:rsidRPr="00CA4C7E">
        <w:t xml:space="preserve"> should not be used</w:t>
      </w:r>
      <w:r w:rsidR="00572AD5" w:rsidRPr="00CA4C7E">
        <w:t xml:space="preserve"> even if published and publicly available without </w:t>
      </w:r>
      <w:r w:rsidR="008427AE" w:rsidRPr="00CA4C7E">
        <w:t xml:space="preserve">explicit </w:t>
      </w:r>
      <w:r w:rsidR="00572AD5" w:rsidRPr="00CA4C7E">
        <w:t xml:space="preserve">approval </w:t>
      </w:r>
      <w:r w:rsidR="008427AE" w:rsidRPr="00CA4C7E">
        <w:t>by</w:t>
      </w:r>
      <w:r w:rsidR="00572AD5" w:rsidRPr="00CA4C7E">
        <w:t xml:space="preserve"> the project organizers</w:t>
      </w:r>
      <w:r w:rsidR="00FA6109" w:rsidRPr="00CA4C7E">
        <w:t>. Other types of data such as search queries or social media including the word “dengue” may be used</w:t>
      </w:r>
      <w:r w:rsidR="00BE6CA2" w:rsidRPr="00CA4C7E">
        <w:t>.</w:t>
      </w:r>
    </w:p>
    <w:p w14:paraId="05552A6A" w14:textId="77777777" w:rsidR="00CB78E0" w:rsidRPr="00CA4C7E" w:rsidRDefault="00CB78E0" w:rsidP="004C1F71">
      <w:pPr>
        <w:pStyle w:val="NoSpacing"/>
      </w:pPr>
    </w:p>
    <w:p w14:paraId="7110DE5F" w14:textId="465C2EA3" w:rsidR="00E30415" w:rsidRPr="00CA4C7E" w:rsidRDefault="00363B14" w:rsidP="004C1F71">
      <w:pPr>
        <w:pStyle w:val="NoSpacing"/>
      </w:pPr>
      <w:proofErr w:type="gramStart"/>
      <w:r w:rsidRPr="00CA4C7E">
        <w:rPr>
          <w:i/>
        </w:rPr>
        <w:t>Temporal range.</w:t>
      </w:r>
      <w:proofErr w:type="gramEnd"/>
      <w:r w:rsidRPr="00CA4C7E">
        <w:t xml:space="preserve"> </w:t>
      </w:r>
      <w:r w:rsidR="000B4CB7" w:rsidRPr="00CA4C7E">
        <w:t xml:space="preserve">Data </w:t>
      </w:r>
      <w:r w:rsidR="000C7941" w:rsidRPr="00CA4C7E">
        <w:t>will be provided for two time periods at each location, a training period and a testing time period. The initial data only covers the training period, 1990-2009 for San Juan and 2000-2009 for Iquitos. Testing data for 2009-2013 will be provided later, as described in the “Forecasts” section below.</w:t>
      </w:r>
      <w:r w:rsidR="00E30415" w:rsidRPr="00CA4C7E">
        <w:t xml:space="preserve"> Note that no forecast should use data that comes from a later time period. For example, a forec</w:t>
      </w:r>
      <w:r w:rsidR="007071BA" w:rsidRPr="00CA4C7E">
        <w:t>ast made at Week 28 of the 2010/20</w:t>
      </w:r>
      <w:r w:rsidR="00E30415" w:rsidRPr="00CA4C7E">
        <w:t>11 season should only use data</w:t>
      </w:r>
      <w:r w:rsidR="00AE0452" w:rsidRPr="00CA4C7E">
        <w:t xml:space="preserve"> (dengue data or other data)</w:t>
      </w:r>
      <w:r w:rsidR="00E30415" w:rsidRPr="00CA4C7E">
        <w:t xml:space="preserve"> from prior weeks and years.</w:t>
      </w:r>
    </w:p>
    <w:p w14:paraId="5CDD1DB2" w14:textId="77777777" w:rsidR="00EF654F" w:rsidRPr="00CA4C7E" w:rsidRDefault="00EF654F" w:rsidP="004C1F71">
      <w:pPr>
        <w:pStyle w:val="NoSpacing"/>
      </w:pPr>
    </w:p>
    <w:p w14:paraId="29C930A0" w14:textId="57C97A34" w:rsidR="00EF654F" w:rsidRPr="00CA4C7E" w:rsidRDefault="00DD4D59" w:rsidP="004C1F71">
      <w:pPr>
        <w:pStyle w:val="NoSpacing"/>
        <w:rPr>
          <w:b/>
          <w:i/>
        </w:rPr>
      </w:pPr>
      <w:r w:rsidRPr="00CA4C7E">
        <w:rPr>
          <w:b/>
          <w:i/>
        </w:rPr>
        <w:t>Forecast</w:t>
      </w:r>
      <w:r w:rsidR="00EF654F" w:rsidRPr="00CA4C7E">
        <w:rPr>
          <w:b/>
          <w:i/>
        </w:rPr>
        <w:t>s</w:t>
      </w:r>
    </w:p>
    <w:p w14:paraId="494AA2BA" w14:textId="59669D2E" w:rsidR="00A85B8D" w:rsidRPr="00CA4C7E" w:rsidRDefault="00E30415" w:rsidP="004C1F71">
      <w:pPr>
        <w:pStyle w:val="NoSpacing"/>
      </w:pPr>
      <w:r w:rsidRPr="00CA4C7E">
        <w:t xml:space="preserve">Forecasts will be made in two stages. First, the training data should be used </w:t>
      </w:r>
      <w:r w:rsidR="00373838" w:rsidRPr="00CA4C7E">
        <w:t xml:space="preserve">by each team </w:t>
      </w:r>
      <w:r w:rsidRPr="00CA4C7E">
        <w:t xml:space="preserve">to develop and </w:t>
      </w:r>
      <w:r w:rsidR="00373838" w:rsidRPr="00CA4C7E">
        <w:t>select</w:t>
      </w:r>
      <w:r w:rsidRPr="00CA4C7E">
        <w:t xml:space="preserve"> the </w:t>
      </w:r>
      <w:r w:rsidR="00373838" w:rsidRPr="00CA4C7E">
        <w:t>optimal</w:t>
      </w:r>
      <w:r w:rsidRPr="00CA4C7E">
        <w:t xml:space="preserve"> model</w:t>
      </w:r>
      <w:r w:rsidR="00373838" w:rsidRPr="00CA4C7E">
        <w:t xml:space="preserve"> for each location and prediction target</w:t>
      </w:r>
      <w:r w:rsidRPr="00CA4C7E">
        <w:t>.</w:t>
      </w:r>
      <w:r w:rsidR="00373838" w:rsidRPr="00CA4C7E">
        <w:t xml:space="preserve"> Once this has been accomplished, the team should write a brief description</w:t>
      </w:r>
      <w:r w:rsidR="00E177BA" w:rsidRPr="00CA4C7E">
        <w:t xml:space="preserve"> of the model</w:t>
      </w:r>
      <w:r w:rsidR="00373838" w:rsidRPr="00CA4C7E">
        <w:t xml:space="preserve"> and data used (Appendix 1)</w:t>
      </w:r>
      <w:r w:rsidR="00E177BA" w:rsidRPr="00CA4C7E">
        <w:t>. If different models are used for different targets or locations, each model should be described.</w:t>
      </w:r>
      <w:r w:rsidR="00373838" w:rsidRPr="00CA4C7E">
        <w:t xml:space="preserve"> </w:t>
      </w:r>
      <w:r w:rsidR="00E177BA" w:rsidRPr="00CA4C7E">
        <w:t>The team should also</w:t>
      </w:r>
      <w:r w:rsidR="00373838" w:rsidRPr="00CA4C7E">
        <w:t xml:space="preserve"> prepare forecasts for the years 200</w:t>
      </w:r>
      <w:r w:rsidR="00AE0452" w:rsidRPr="00CA4C7E">
        <w:t>5</w:t>
      </w:r>
      <w:r w:rsidR="00373838" w:rsidRPr="00CA4C7E">
        <w:t>-2009</w:t>
      </w:r>
      <w:r w:rsidR="00E177BA" w:rsidRPr="00CA4C7E">
        <w:t xml:space="preserve"> using the selected model(s)</w:t>
      </w:r>
      <w:r w:rsidR="00373838" w:rsidRPr="00CA4C7E">
        <w:t xml:space="preserve">. </w:t>
      </w:r>
      <w:r w:rsidR="00BF6DC2" w:rsidRPr="00CA4C7E">
        <w:t>For</w:t>
      </w:r>
      <w:r w:rsidR="00097F1E" w:rsidRPr="00CA4C7E">
        <w:t xml:space="preserve"> each </w:t>
      </w:r>
      <w:r w:rsidR="00373838" w:rsidRPr="00CA4C7E">
        <w:t xml:space="preserve">of these </w:t>
      </w:r>
      <w:r w:rsidR="00A85B8D" w:rsidRPr="00CA4C7E">
        <w:t xml:space="preserve">four </w:t>
      </w:r>
      <w:r w:rsidR="00097F1E" w:rsidRPr="00CA4C7E">
        <w:t>transmission season</w:t>
      </w:r>
      <w:r w:rsidR="00373838" w:rsidRPr="00CA4C7E">
        <w:t>s</w:t>
      </w:r>
      <w:r w:rsidR="00097F1E" w:rsidRPr="00CA4C7E">
        <w:t xml:space="preserve">, </w:t>
      </w:r>
      <w:r w:rsidR="00DD4D59" w:rsidRPr="00CA4C7E">
        <w:t>forecast</w:t>
      </w:r>
      <w:r w:rsidR="00107B79" w:rsidRPr="00CA4C7E">
        <w:t>s should be made every 4 weeks</w:t>
      </w:r>
      <w:r w:rsidR="0078725E" w:rsidRPr="00CA4C7E">
        <w:t xml:space="preserve"> (weeks 0, 4, 8, 12, 16, 20, 24, 28, 32, 36, 40, 44, 48)</w:t>
      </w:r>
      <w:r w:rsidR="00107B79" w:rsidRPr="00CA4C7E">
        <w:t xml:space="preserve"> for each </w:t>
      </w:r>
      <w:r w:rsidR="00E469DF" w:rsidRPr="00CA4C7E">
        <w:t>target</w:t>
      </w:r>
      <w:r w:rsidR="00107B79" w:rsidRPr="00CA4C7E">
        <w:t>.</w:t>
      </w:r>
      <w:r w:rsidR="00BF6DC2" w:rsidRPr="00CA4C7E">
        <w:t xml:space="preserve"> </w:t>
      </w:r>
      <w:r w:rsidR="00A85B8D" w:rsidRPr="00CA4C7E">
        <w:t xml:space="preserve">Each forecast should include a point estimate and a probability distribution. </w:t>
      </w:r>
      <w:r w:rsidR="00BA0FD7" w:rsidRPr="00CA4C7E">
        <w:t xml:space="preserve">Note that </w:t>
      </w:r>
      <w:r w:rsidR="00DD4D59" w:rsidRPr="00CA4C7E">
        <w:t>forecast</w:t>
      </w:r>
      <w:r w:rsidR="00BA0FD7" w:rsidRPr="00CA4C7E">
        <w:t xml:space="preserve">s should be made for peak incidence even after peak incidence has occurred. These </w:t>
      </w:r>
      <w:r w:rsidR="00DD4D59" w:rsidRPr="00CA4C7E">
        <w:t>forecast</w:t>
      </w:r>
      <w:r w:rsidR="00BA0FD7" w:rsidRPr="00CA4C7E">
        <w:t>s reflect the probability that peak incidence has already occurred</w:t>
      </w:r>
      <w:r w:rsidR="004644AB" w:rsidRPr="00CA4C7E">
        <w:t xml:space="preserve"> (e.g. late season </w:t>
      </w:r>
      <w:r w:rsidR="00DD4D59" w:rsidRPr="00CA4C7E">
        <w:t>forecast</w:t>
      </w:r>
      <w:r w:rsidR="004644AB" w:rsidRPr="00CA4C7E">
        <w:t>s should be non-zero if there is some chance of a second</w:t>
      </w:r>
      <w:r w:rsidR="003C067A" w:rsidRPr="00CA4C7E">
        <w:t>, higher</w:t>
      </w:r>
      <w:r w:rsidR="004644AB" w:rsidRPr="00CA4C7E">
        <w:t xml:space="preserve"> peak)</w:t>
      </w:r>
      <w:r w:rsidR="00BA0FD7" w:rsidRPr="00CA4C7E">
        <w:t>.</w:t>
      </w:r>
      <w:r w:rsidR="00107B79" w:rsidRPr="00CA4C7E">
        <w:t xml:space="preserve"> </w:t>
      </w:r>
    </w:p>
    <w:p w14:paraId="0229E1EC" w14:textId="50A8D722" w:rsidR="00A85B8D" w:rsidRPr="00CA4C7E" w:rsidRDefault="00A85B8D" w:rsidP="004C1F71">
      <w:pPr>
        <w:pStyle w:val="NoSpacing"/>
      </w:pPr>
    </w:p>
    <w:p w14:paraId="3229C52F" w14:textId="2287CBF3" w:rsidR="000B2BB3" w:rsidRPr="00CA4C7E" w:rsidRDefault="00107B79" w:rsidP="004C1F71">
      <w:pPr>
        <w:pStyle w:val="NoSpacing"/>
      </w:pPr>
      <w:r w:rsidRPr="00CA4C7E">
        <w:lastRenderedPageBreak/>
        <w:t>One “csv” file should be prepared for each</w:t>
      </w:r>
      <w:r w:rsidR="00974F9F" w:rsidRPr="00CA4C7E">
        <w:t xml:space="preserve"> location and each</w:t>
      </w:r>
      <w:r w:rsidRPr="00CA4C7E">
        <w:t xml:space="preserve"> </w:t>
      </w:r>
      <w:r w:rsidR="00E469DF" w:rsidRPr="00CA4C7E">
        <w:t>target</w:t>
      </w:r>
      <w:r w:rsidRPr="00CA4C7E">
        <w:t xml:space="preserve"> </w:t>
      </w:r>
      <w:r w:rsidR="00313E15" w:rsidRPr="00CA4C7E">
        <w:t>usi</w:t>
      </w:r>
      <w:r w:rsidRPr="00CA4C7E">
        <w:t>ng</w:t>
      </w:r>
      <w:r w:rsidR="00373838" w:rsidRPr="00CA4C7E">
        <w:t xml:space="preserve"> the supplied</w:t>
      </w:r>
      <w:r w:rsidRPr="00CA4C7E">
        <w:t xml:space="preserve"> template</w:t>
      </w:r>
      <w:r w:rsidR="00313E15" w:rsidRPr="00CA4C7E">
        <w:t>s</w:t>
      </w:r>
      <w:r w:rsidR="00B62F1D" w:rsidRPr="00CA4C7E">
        <w:t xml:space="preserve"> </w:t>
      </w:r>
      <w:r w:rsidR="0051353E" w:rsidRPr="00CA4C7E">
        <w:t>(</w:t>
      </w:r>
      <w:r w:rsidRPr="00CA4C7E">
        <w:t>Appendix</w:t>
      </w:r>
      <w:r w:rsidR="006B05BA" w:rsidRPr="00CA4C7E">
        <w:t xml:space="preserve"> </w:t>
      </w:r>
      <w:r w:rsidR="00373838" w:rsidRPr="00CA4C7E">
        <w:t>2</w:t>
      </w:r>
      <w:r w:rsidR="0051353E" w:rsidRPr="00CA4C7E">
        <w:t>)</w:t>
      </w:r>
      <w:r w:rsidRPr="00CA4C7E">
        <w:t>.</w:t>
      </w:r>
      <w:r w:rsidR="00373838" w:rsidRPr="00CA4C7E">
        <w:t xml:space="preserve"> Th</w:t>
      </w:r>
      <w:r w:rsidR="00E177BA" w:rsidRPr="00CA4C7E">
        <w:t>e</w:t>
      </w:r>
      <w:r w:rsidR="00373838" w:rsidRPr="00CA4C7E">
        <w:t xml:space="preserve"> initial model description and forecasts should be submitted to </w:t>
      </w:r>
      <w:r w:rsidR="00C853B1" w:rsidRPr="00013234">
        <w:t>predict@cdc.gov</w:t>
      </w:r>
      <w:r w:rsidR="00E52365" w:rsidRPr="00CA4C7E">
        <w:t xml:space="preserve"> </w:t>
      </w:r>
      <w:r w:rsidR="00373838" w:rsidRPr="00CA4C7E">
        <w:t xml:space="preserve">by </w:t>
      </w:r>
      <w:r w:rsidR="00240396" w:rsidRPr="00CA4C7E">
        <w:t>August 12</w:t>
      </w:r>
      <w:r w:rsidR="00373838" w:rsidRPr="00CA4C7E">
        <w:t>, 2015.</w:t>
      </w:r>
      <w:r w:rsidR="00E177BA" w:rsidRPr="00CA4C7E">
        <w:t xml:space="preserve"> These forecasts will be used to verify that the format is correct and to provide metrics on fit to the training data.</w:t>
      </w:r>
    </w:p>
    <w:p w14:paraId="6AF8E018" w14:textId="77777777" w:rsidR="00E177BA" w:rsidRPr="00CA4C7E" w:rsidRDefault="00E177BA" w:rsidP="004C1F71">
      <w:pPr>
        <w:pStyle w:val="NoSpacing"/>
      </w:pPr>
    </w:p>
    <w:p w14:paraId="3E813515" w14:textId="3A39EE5C" w:rsidR="00CA5C35" w:rsidRPr="00CA4C7E" w:rsidRDefault="00E177BA" w:rsidP="00AE0452">
      <w:pPr>
        <w:pStyle w:val="NoSpacing"/>
      </w:pPr>
      <w:r w:rsidRPr="00CA4C7E">
        <w:t xml:space="preserve">All teams with verified submissions by </w:t>
      </w:r>
      <w:r w:rsidR="00240396" w:rsidRPr="00CA4C7E">
        <w:t>August 12</w:t>
      </w:r>
      <w:r w:rsidRPr="00CA4C7E">
        <w:t xml:space="preserve">, 2015, will receive the testing data by email in the same format as the training data on </w:t>
      </w:r>
      <w:r w:rsidR="00240396" w:rsidRPr="00CA4C7E">
        <w:t>August 19</w:t>
      </w:r>
      <w:r w:rsidRPr="00CA4C7E">
        <w:t xml:space="preserve">, 2015. They will have </w:t>
      </w:r>
      <w:r w:rsidR="00C80F0A" w:rsidRPr="00CA4C7E">
        <w:t xml:space="preserve">two </w:t>
      </w:r>
      <w:r w:rsidRPr="00CA4C7E">
        <w:t>week</w:t>
      </w:r>
      <w:r w:rsidR="00C80F0A" w:rsidRPr="00CA4C7E">
        <w:t>s</w:t>
      </w:r>
      <w:r w:rsidRPr="00CA4C7E">
        <w:t xml:space="preserve"> to </w:t>
      </w:r>
      <w:r w:rsidR="00AE0452" w:rsidRPr="00CA4C7E">
        <w:t>submit</w:t>
      </w:r>
      <w:r w:rsidRPr="00CA4C7E">
        <w:t xml:space="preserve"> forecasts for the 2009-2013 testing period using the already selected model. These forecasts</w:t>
      </w:r>
      <w:r w:rsidR="00792A15" w:rsidRPr="00CA4C7E">
        <w:t xml:space="preserve"> should use exactly the same model and same format as the first submission and </w:t>
      </w:r>
      <w:r w:rsidRPr="00CA4C7E">
        <w:t xml:space="preserve">must be submitted to </w:t>
      </w:r>
      <w:r w:rsidR="00E52365" w:rsidRPr="00CA4C7E">
        <w:t>predict@cdc.gov</w:t>
      </w:r>
      <w:r w:rsidRPr="00CA4C7E">
        <w:t xml:space="preserve"> by </w:t>
      </w:r>
      <w:r w:rsidR="00240396" w:rsidRPr="00CA4C7E">
        <w:t>September 2</w:t>
      </w:r>
      <w:r w:rsidRPr="00CA4C7E">
        <w:t>, 2015.</w:t>
      </w:r>
    </w:p>
    <w:p w14:paraId="53B4FDBF" w14:textId="77777777" w:rsidR="00CA5C35" w:rsidRPr="00CA4C7E" w:rsidRDefault="00CA5C35" w:rsidP="00AE0452">
      <w:pPr>
        <w:pStyle w:val="NoSpacing"/>
      </w:pPr>
    </w:p>
    <w:p w14:paraId="2F48DA9B" w14:textId="5975EE84" w:rsidR="00CB78E0" w:rsidRPr="00CA4C7E" w:rsidRDefault="00E177BA" w:rsidP="00AE0452">
      <w:pPr>
        <w:pStyle w:val="NoSpacing"/>
      </w:pPr>
      <w:r w:rsidRPr="00CA4C7E">
        <w:t xml:space="preserve">IMPORTANT NOTE: Much of the data for </w:t>
      </w:r>
      <w:r w:rsidR="00AE0452" w:rsidRPr="00CA4C7E">
        <w:t>2009</w:t>
      </w:r>
      <w:r w:rsidRPr="00CA4C7E">
        <w:t xml:space="preserve">-2013 is currently accessible to researchers; it is therefore contingent upon the researcher to NOT use these data for model development or evaluation. </w:t>
      </w:r>
      <w:r w:rsidR="00E33FD6" w:rsidRPr="00CA4C7E">
        <w:t>The</w:t>
      </w:r>
      <w:r w:rsidR="00F20757" w:rsidRPr="00CA4C7E">
        <w:t xml:space="preserve"> data are supplied only for “future” forecasts within the testing period.</w:t>
      </w:r>
      <w:r w:rsidR="00CD242C" w:rsidRPr="00CA4C7E">
        <w:t xml:space="preserve"> For example, </w:t>
      </w:r>
      <w:r w:rsidR="00DD4D59" w:rsidRPr="00CA4C7E">
        <w:t>forecast</w:t>
      </w:r>
      <w:r w:rsidR="00CD242C" w:rsidRPr="00CA4C7E">
        <w:t xml:space="preserve">s </w:t>
      </w:r>
      <w:r w:rsidR="000B2BB3" w:rsidRPr="00CA4C7E">
        <w:t xml:space="preserve">made for the </w:t>
      </w:r>
      <w:r w:rsidR="00AE0452" w:rsidRPr="00CA4C7E">
        <w:t>2011</w:t>
      </w:r>
      <w:r w:rsidR="007071BA" w:rsidRPr="00CA4C7E">
        <w:t>/20</w:t>
      </w:r>
      <w:r w:rsidR="00AE0452" w:rsidRPr="00CA4C7E">
        <w:t xml:space="preserve">12 </w:t>
      </w:r>
      <w:r w:rsidR="000B2BB3" w:rsidRPr="00CA4C7E">
        <w:t>season</w:t>
      </w:r>
      <w:r w:rsidR="00AE0452" w:rsidRPr="00CA4C7E">
        <w:t xml:space="preserve"> at Week 4 may </w:t>
      </w:r>
      <w:r w:rsidR="000B2BB3" w:rsidRPr="00CA4C7E">
        <w:t>us</w:t>
      </w:r>
      <w:r w:rsidR="00AE0452" w:rsidRPr="00CA4C7E">
        <w:t>e</w:t>
      </w:r>
      <w:r w:rsidR="000B2BB3" w:rsidRPr="00CA4C7E">
        <w:t xml:space="preserve"> data </w:t>
      </w:r>
      <w:r w:rsidR="00AE0452" w:rsidRPr="00CA4C7E">
        <w:t>from any date up to Week 4 of the 2011</w:t>
      </w:r>
      <w:r w:rsidR="007071BA" w:rsidRPr="00CA4C7E">
        <w:t>/20</w:t>
      </w:r>
      <w:r w:rsidR="00AE0452" w:rsidRPr="00CA4C7E">
        <w:t xml:space="preserve">12 season, but no data of any type from later dates. </w:t>
      </w:r>
      <w:r w:rsidR="00013234" w:rsidRPr="00CA4C7E">
        <w:t>The</w:t>
      </w:r>
      <w:r w:rsidR="00013234">
        <w:t xml:space="preserve"> historical </w:t>
      </w:r>
      <w:r w:rsidR="00AE0452" w:rsidRPr="00CA4C7E">
        <w:t xml:space="preserve">data may be used to </w:t>
      </w:r>
      <w:r w:rsidR="00CD242C" w:rsidRPr="00CA4C7E">
        <w:t xml:space="preserve">dynamically update coefficients or covariates, but there should be no structural changes to the model and no consideration of data from </w:t>
      </w:r>
      <w:r w:rsidR="00AE0452" w:rsidRPr="00CA4C7E">
        <w:t>Week 5 of that season</w:t>
      </w:r>
      <w:r w:rsidR="00CD242C" w:rsidRPr="00CA4C7E">
        <w:t xml:space="preserve"> or later.</w:t>
      </w:r>
    </w:p>
    <w:p w14:paraId="2C0C33F9" w14:textId="77777777" w:rsidR="004C1F71" w:rsidRPr="00CA4C7E" w:rsidRDefault="004C1F71" w:rsidP="009B2F3B">
      <w:pPr>
        <w:pStyle w:val="NoSpacing"/>
      </w:pPr>
    </w:p>
    <w:p w14:paraId="0DED9D1B" w14:textId="21CFEAD5" w:rsidR="009A0A4B" w:rsidRPr="00CA4C7E" w:rsidRDefault="004C1F71" w:rsidP="009B2F3B">
      <w:pPr>
        <w:pStyle w:val="NoSpacing"/>
        <w:rPr>
          <w:b/>
          <w:i/>
        </w:rPr>
      </w:pPr>
      <w:r w:rsidRPr="00CA4C7E">
        <w:rPr>
          <w:b/>
          <w:i/>
        </w:rPr>
        <w:t>Evaluation</w:t>
      </w:r>
    </w:p>
    <w:p w14:paraId="43D6B96F" w14:textId="1C4C2CD9" w:rsidR="0096352E" w:rsidRPr="00CA4C7E" w:rsidRDefault="00DD4D59" w:rsidP="002954C2">
      <w:pPr>
        <w:pStyle w:val="NoSpacing"/>
      </w:pPr>
      <w:r w:rsidRPr="00CA4C7E">
        <w:t>Forecast</w:t>
      </w:r>
      <w:r w:rsidR="003C067A" w:rsidRPr="00CA4C7E">
        <w:t xml:space="preserve">s will be </w:t>
      </w:r>
      <w:r w:rsidR="00AE6A58" w:rsidRPr="00CA4C7E">
        <w:t xml:space="preserve">quantitatively </w:t>
      </w:r>
      <w:r w:rsidR="003C067A" w:rsidRPr="00CA4C7E">
        <w:t xml:space="preserve">evaluated for each </w:t>
      </w:r>
      <w:r w:rsidR="00EE17E3" w:rsidRPr="00CA4C7E">
        <w:t>target</w:t>
      </w:r>
      <w:r w:rsidR="003C067A" w:rsidRPr="00CA4C7E">
        <w:t xml:space="preserve"> </w:t>
      </w:r>
      <w:r w:rsidR="007B131F" w:rsidRPr="00CA4C7E">
        <w:t xml:space="preserve">using </w:t>
      </w:r>
      <w:r w:rsidR="002954C2" w:rsidRPr="00CA4C7E">
        <w:t>two metrics</w:t>
      </w:r>
      <w:r w:rsidR="00383909" w:rsidRPr="00CA4C7E">
        <w:t>. Point forecasts will be evaluated using relative Mean Absolute Error (relative MAE, Appendix 3) to assess performance relative to a seasonal autoregressive model</w:t>
      </w:r>
      <w:r w:rsidR="002954C2" w:rsidRPr="00CA4C7E">
        <w:t xml:space="preserve"> and to other forecasts</w:t>
      </w:r>
      <w:r w:rsidR="00383909" w:rsidRPr="00CA4C7E">
        <w:t>.</w:t>
      </w:r>
      <w:r w:rsidR="00383909" w:rsidRPr="00CA4C7E">
        <w:rPr>
          <w:b/>
        </w:rPr>
        <w:t xml:space="preserve"> </w:t>
      </w:r>
      <w:r w:rsidR="00383909" w:rsidRPr="00CA4C7E">
        <w:t>The probability distributions will be evaluated using the logarithmic scoring rule (Appendix 3). For each target, relative MAE and the logarithmic score will be calculated across all seasons and forecast</w:t>
      </w:r>
      <w:r w:rsidR="002954C2" w:rsidRPr="00CA4C7E">
        <w:t xml:space="preserve"> times (week of the season)</w:t>
      </w:r>
      <w:r w:rsidR="00383909" w:rsidRPr="00CA4C7E">
        <w:t xml:space="preserve"> as well as for specific seasons and forecast</w:t>
      </w:r>
      <w:r w:rsidR="002954C2" w:rsidRPr="00CA4C7E">
        <w:t xml:space="preserve"> time </w:t>
      </w:r>
      <w:r w:rsidR="00383909" w:rsidRPr="00CA4C7E">
        <w:t>to identify potential differences in model strengths.</w:t>
      </w:r>
      <w:r w:rsidR="002954C2" w:rsidRPr="00CA4C7E">
        <w:t xml:space="preserve"> </w:t>
      </w:r>
      <w:r w:rsidR="00CA5C35" w:rsidRPr="00CA4C7E">
        <w:t>The primary comparisons will be made for the testing period (</w:t>
      </w:r>
      <w:r w:rsidR="00D63532" w:rsidRPr="00CA4C7E">
        <w:t>2009</w:t>
      </w:r>
      <w:r w:rsidR="00CA5C35" w:rsidRPr="00CA4C7E">
        <w:t>-2013), however forecasts will also be compared between the training and testing periods to assess how forecast accuracy changes when predicting on data that was excluded from the model development process.</w:t>
      </w:r>
      <w:r w:rsidR="0096352E" w:rsidRPr="00CA4C7E">
        <w:t xml:space="preserve"> </w:t>
      </w:r>
      <w:r w:rsidR="002954C2" w:rsidRPr="00CA4C7E">
        <w:t>IMPORTANT NOTE: A different model may be employed for each target and location.</w:t>
      </w:r>
    </w:p>
    <w:p w14:paraId="23DF46A4" w14:textId="77777777" w:rsidR="0096352E" w:rsidRPr="00CA4C7E" w:rsidRDefault="0096352E" w:rsidP="002954C2">
      <w:pPr>
        <w:pStyle w:val="NoSpacing"/>
      </w:pPr>
    </w:p>
    <w:p w14:paraId="1E678658" w14:textId="66879767" w:rsidR="00F54A5B" w:rsidRPr="00CA4C7E" w:rsidRDefault="00C853B1" w:rsidP="00E52365">
      <w:pPr>
        <w:pStyle w:val="NoSpacing"/>
      </w:pPr>
      <w:r>
        <w:t>Of a</w:t>
      </w:r>
      <w:r w:rsidR="00F54A5B" w:rsidRPr="00CA4C7E">
        <w:t xml:space="preserve">ll </w:t>
      </w:r>
      <w:r w:rsidR="00253588">
        <w:t>teams</w:t>
      </w:r>
      <w:r w:rsidR="00253588" w:rsidRPr="00CA4C7E">
        <w:t xml:space="preserve"> </w:t>
      </w:r>
      <w:r w:rsidR="00F54A5B" w:rsidRPr="00CA4C7E">
        <w:t>completing</w:t>
      </w:r>
      <w:r w:rsidR="00253588" w:rsidRPr="00253588">
        <w:t xml:space="preserve"> </w:t>
      </w:r>
      <w:r w:rsidR="00253588" w:rsidRPr="00CA4C7E">
        <w:t>the submission process within the specified time frame</w:t>
      </w:r>
      <w:r>
        <w:t xml:space="preserve">, </w:t>
      </w:r>
      <w:r w:rsidR="00121124">
        <w:t xml:space="preserve">up to </w:t>
      </w:r>
      <w:r w:rsidRPr="00CA4C7E">
        <w:t xml:space="preserve">six will </w:t>
      </w:r>
      <w:r>
        <w:t>be selected to give</w:t>
      </w:r>
      <w:r w:rsidRPr="00CA4C7E">
        <w:t xml:space="preserve"> in depth presentation</w:t>
      </w:r>
      <w:r>
        <w:t xml:space="preserve">s on their </w:t>
      </w:r>
      <w:r w:rsidR="00253588">
        <w:t>forecast</w:t>
      </w:r>
      <w:r>
        <w:t>ing approach</w:t>
      </w:r>
      <w:r w:rsidR="00253588">
        <w:t>es</w:t>
      </w:r>
      <w:r>
        <w:t xml:space="preserve"> at </w:t>
      </w:r>
      <w:r w:rsidRPr="00CA4C7E">
        <w:t>the September workshop. The selected teams will be those achieving the highest logarithmic score over forecasts at weeks 0 through 24 across all four testing seasons for each of the three targets in each of the two cities</w:t>
      </w:r>
      <w:r w:rsidR="00253588">
        <w:t>, i.e. there will be one model selected for each target and each city</w:t>
      </w:r>
      <w:r w:rsidRPr="00CA4C7E">
        <w:t>.</w:t>
      </w:r>
      <w:r w:rsidR="00253588">
        <w:t xml:space="preserve"> </w:t>
      </w:r>
      <w:r w:rsidR="002D1320" w:rsidRPr="00CA4C7E">
        <w:t>An interagency panel will evaluate the submissions and select the presenters.</w:t>
      </w:r>
    </w:p>
    <w:p w14:paraId="0499A95A" w14:textId="77777777" w:rsidR="00F54A5B" w:rsidRPr="00CA4C7E" w:rsidRDefault="00F54A5B" w:rsidP="002954C2">
      <w:pPr>
        <w:pStyle w:val="NoSpacing"/>
      </w:pPr>
    </w:p>
    <w:p w14:paraId="372AB50E" w14:textId="2A5841CF" w:rsidR="00117DF4" w:rsidRPr="00CA4C7E" w:rsidRDefault="0096352E" w:rsidP="00273F43">
      <w:pPr>
        <w:pStyle w:val="NoSpacing"/>
      </w:pPr>
      <w:r w:rsidRPr="00CA4C7E">
        <w:t xml:space="preserve">Following the workshop, the organizers will put together a manuscript to publish the evaluation results. All submitted forecasts will be included in the manuscript. All team leaders will be invited as authors. </w:t>
      </w:r>
      <w:r w:rsidR="002954C2" w:rsidRPr="00CA4C7E">
        <w:t xml:space="preserve">The </w:t>
      </w:r>
      <w:r w:rsidR="00CA5C35" w:rsidRPr="00CA4C7E">
        <w:t>metric</w:t>
      </w:r>
      <w:r w:rsidR="002954C2" w:rsidRPr="00CA4C7E">
        <w:t>s for all forecasts will be shared with all participants at the workshop</w:t>
      </w:r>
      <w:r w:rsidR="00EF5CA0" w:rsidRPr="00CA4C7E">
        <w:t xml:space="preserve"> for independent analysis</w:t>
      </w:r>
      <w:r w:rsidR="002954C2" w:rsidRPr="00CA4C7E">
        <w:t xml:space="preserve">. </w:t>
      </w:r>
      <w:r w:rsidR="00EF5CA0" w:rsidRPr="00CA4C7E">
        <w:t>However, t</w:t>
      </w:r>
      <w:r w:rsidR="002954C2" w:rsidRPr="00CA4C7E">
        <w:t xml:space="preserve">hese data (data related to forecasts from other participants, not the participant’s own forecasts) should not be used in publications until one year after the workshop or until there is a joint publication related to the workshop, whichever comes first. After this embargo, </w:t>
      </w:r>
      <w:r w:rsidR="00E241E4" w:rsidRPr="00CA4C7E">
        <w:t>any participant can use these data</w:t>
      </w:r>
      <w:r w:rsidR="00D63532" w:rsidRPr="00CA4C7E">
        <w:t xml:space="preserve"> as long as no</w:t>
      </w:r>
      <w:r w:rsidR="002954C2" w:rsidRPr="00CA4C7E">
        <w:t xml:space="preserve"> identifiers</w:t>
      </w:r>
      <w:r w:rsidR="00D63532" w:rsidRPr="00CA4C7E">
        <w:t xml:space="preserve"> are used</w:t>
      </w:r>
      <w:r w:rsidR="002954C2" w:rsidRPr="00CA4C7E">
        <w:t xml:space="preserve">. To include identifiers, permission must be obtained from each </w:t>
      </w:r>
      <w:r w:rsidR="00D63532" w:rsidRPr="00CA4C7E">
        <w:t>team leader</w:t>
      </w:r>
      <w:r w:rsidR="002954C2" w:rsidRPr="00CA4C7E">
        <w:t>.</w:t>
      </w:r>
    </w:p>
    <w:p w14:paraId="65C21501" w14:textId="5A2C6393" w:rsidR="00BF3E7C" w:rsidRPr="00CA4C7E" w:rsidRDefault="00BF3E7C">
      <w:pPr>
        <w:rPr>
          <w:b/>
          <w:sz w:val="28"/>
        </w:rPr>
      </w:pPr>
    </w:p>
    <w:p w14:paraId="2683D392" w14:textId="77777777" w:rsidR="001427C4" w:rsidRDefault="001427C4">
      <w:pPr>
        <w:rPr>
          <w:b/>
          <w:sz w:val="28"/>
        </w:rPr>
      </w:pPr>
      <w:r>
        <w:rPr>
          <w:b/>
          <w:sz w:val="28"/>
        </w:rPr>
        <w:br w:type="page"/>
      </w:r>
    </w:p>
    <w:p w14:paraId="6AA91E2D" w14:textId="7B8B352C" w:rsidR="005565A0" w:rsidRPr="00CA4C7E" w:rsidRDefault="005565A0">
      <w:pPr>
        <w:rPr>
          <w:b/>
          <w:sz w:val="28"/>
        </w:rPr>
      </w:pPr>
      <w:r w:rsidRPr="00CA4C7E">
        <w:rPr>
          <w:b/>
          <w:sz w:val="28"/>
        </w:rPr>
        <w:lastRenderedPageBreak/>
        <w:t>Appendix 1 – Model description</w:t>
      </w:r>
    </w:p>
    <w:p w14:paraId="05F889A6" w14:textId="56D3704C" w:rsidR="005565A0" w:rsidRPr="00CA4C7E" w:rsidRDefault="005565A0">
      <w:r w:rsidRPr="00CA4C7E">
        <w:t xml:space="preserve">Once model development has been finished, each team should select their best model for future forecasts. Note again that there may be different models for different targets and locations, but only one for each target and location (though that may be an ensemble model). </w:t>
      </w:r>
      <w:r w:rsidR="00E808DA" w:rsidRPr="00CA4C7E">
        <w:t>If different models are selected for different targets/locations, the</w:t>
      </w:r>
      <w:r w:rsidR="00653643" w:rsidRPr="00CA4C7E">
        <w:t xml:space="preserve"> description should include</w:t>
      </w:r>
      <w:r w:rsidR="00E808DA" w:rsidRPr="00CA4C7E">
        <w:t xml:space="preserve"> each of those models. The description</w:t>
      </w:r>
      <w:r w:rsidRPr="00CA4C7E">
        <w:t xml:space="preserve"> should </w:t>
      </w:r>
      <w:r w:rsidR="00E808DA" w:rsidRPr="00CA4C7E">
        <w:t>include</w:t>
      </w:r>
      <w:r w:rsidRPr="00CA4C7E">
        <w:t xml:space="preserve"> the following components:</w:t>
      </w:r>
    </w:p>
    <w:p w14:paraId="756D76E3" w14:textId="08880188" w:rsidR="0096352E" w:rsidRPr="00CA4C7E" w:rsidRDefault="0096352E" w:rsidP="00CA4C7E">
      <w:pPr>
        <w:pStyle w:val="ListParagraph"/>
        <w:numPr>
          <w:ilvl w:val="0"/>
          <w:numId w:val="3"/>
        </w:numPr>
      </w:pPr>
      <w:r w:rsidRPr="00CA4C7E">
        <w:rPr>
          <w:b/>
        </w:rPr>
        <w:t xml:space="preserve">Team name: </w:t>
      </w:r>
      <w:r w:rsidRPr="00CA4C7E">
        <w:t>This should match the name used in the submission file names.</w:t>
      </w:r>
    </w:p>
    <w:p w14:paraId="11745FC2" w14:textId="3C5FBDDD" w:rsidR="0096352E" w:rsidRPr="00CA4C7E" w:rsidRDefault="0096352E" w:rsidP="00CA4C7E">
      <w:pPr>
        <w:pStyle w:val="ListParagraph"/>
        <w:numPr>
          <w:ilvl w:val="0"/>
          <w:numId w:val="3"/>
        </w:numPr>
      </w:pPr>
      <w:r w:rsidRPr="00CA4C7E">
        <w:rPr>
          <w:b/>
        </w:rPr>
        <w:t xml:space="preserve">Team members: </w:t>
      </w:r>
      <w:r w:rsidRPr="00CA4C7E">
        <w:t>List every person involved with the forecasting effort and their institution. Include the email address of the team leader.</w:t>
      </w:r>
    </w:p>
    <w:p w14:paraId="00B6D587" w14:textId="720554D7" w:rsidR="00E241E4" w:rsidRPr="00CA4C7E" w:rsidRDefault="00E241E4" w:rsidP="00CA4C7E">
      <w:pPr>
        <w:pStyle w:val="ListParagraph"/>
        <w:numPr>
          <w:ilvl w:val="0"/>
          <w:numId w:val="3"/>
        </w:numPr>
      </w:pPr>
      <w:r w:rsidRPr="00CA4C7E">
        <w:rPr>
          <w:b/>
        </w:rPr>
        <w:t>Agreement:</w:t>
      </w:r>
      <w:r w:rsidRPr="00CA4C7E">
        <w:t xml:space="preserve"> Include the following statement: “By submitting these forecasts, I (we) indicate my (our) full and unconditional agreement to abide by the </w:t>
      </w:r>
      <w:r w:rsidR="00653643" w:rsidRPr="00CA4C7E">
        <w:t>project</w:t>
      </w:r>
      <w:r w:rsidRPr="00CA4C7E">
        <w:t>'s official rules and data use agreements.</w:t>
      </w:r>
      <w:r w:rsidR="00F20757" w:rsidRPr="00CA4C7E">
        <w:t>”</w:t>
      </w:r>
    </w:p>
    <w:p w14:paraId="3B7F97A6" w14:textId="2F043559" w:rsidR="005565A0" w:rsidRPr="00CA4C7E" w:rsidRDefault="005565A0" w:rsidP="00CA4C7E">
      <w:pPr>
        <w:pStyle w:val="ListParagraph"/>
        <w:numPr>
          <w:ilvl w:val="0"/>
          <w:numId w:val="3"/>
        </w:numPr>
      </w:pPr>
      <w:r w:rsidRPr="00CA4C7E">
        <w:rPr>
          <w:b/>
        </w:rPr>
        <w:t>Model description:</w:t>
      </w:r>
      <w:r w:rsidRPr="00CA4C7E">
        <w:t xml:space="preserve"> Is the model mechanistic, statistical? Is it an instance of a known class of models?</w:t>
      </w:r>
      <w:r w:rsidR="00E808DA" w:rsidRPr="00CA4C7E">
        <w:t xml:space="preserve"> The description </w:t>
      </w:r>
      <w:r w:rsidR="00653643" w:rsidRPr="00CA4C7E">
        <w:t xml:space="preserve">should include sufficient detail for another modeler to understand the approach being applied. It </w:t>
      </w:r>
      <w:r w:rsidR="00E808DA" w:rsidRPr="00CA4C7E">
        <w:t xml:space="preserve">may include equations, but that is not necessary. </w:t>
      </w:r>
      <w:r w:rsidR="0096352E" w:rsidRPr="00CA4C7E">
        <w:t>If multiple models are used</w:t>
      </w:r>
      <w:r w:rsidR="00653643" w:rsidRPr="00CA4C7E">
        <w:t>,</w:t>
      </w:r>
      <w:r w:rsidR="0096352E" w:rsidRPr="00CA4C7E">
        <w:t xml:space="preserve"> describe each model and which target </w:t>
      </w:r>
      <w:r w:rsidR="00653643" w:rsidRPr="00CA4C7E">
        <w:t>each</w:t>
      </w:r>
      <w:r w:rsidR="0096352E" w:rsidRPr="00CA4C7E">
        <w:t xml:space="preserve"> model </w:t>
      </w:r>
      <w:r w:rsidR="00653643" w:rsidRPr="00CA4C7E">
        <w:t>was</w:t>
      </w:r>
      <w:r w:rsidR="0096352E" w:rsidRPr="00CA4C7E">
        <w:t xml:space="preserve"> used to predict.</w:t>
      </w:r>
    </w:p>
    <w:p w14:paraId="492FAC0D" w14:textId="5466A468" w:rsidR="005565A0" w:rsidRPr="00CA4C7E" w:rsidRDefault="005565A0" w:rsidP="00CA4C7E">
      <w:pPr>
        <w:pStyle w:val="ListParagraph"/>
        <w:numPr>
          <w:ilvl w:val="0"/>
          <w:numId w:val="3"/>
        </w:numPr>
      </w:pPr>
      <w:r w:rsidRPr="00CA4C7E">
        <w:rPr>
          <w:b/>
        </w:rPr>
        <w:t>Variables:</w:t>
      </w:r>
      <w:r w:rsidRPr="00CA4C7E">
        <w:t xml:space="preserve"> What data is used in the model? Historical dengue data? Weather data?</w:t>
      </w:r>
      <w:r w:rsidR="00E808DA" w:rsidRPr="00CA4C7E">
        <w:t xml:space="preserve"> Other data? List every variable used and its temporal relationship to the </w:t>
      </w:r>
      <w:r w:rsidR="00653643" w:rsidRPr="00CA4C7E">
        <w:t>forecast</w:t>
      </w:r>
      <w:r w:rsidR="00E808DA" w:rsidRPr="00CA4C7E">
        <w:t xml:space="preserve"> (e.g. lag or order of autocorrelation).</w:t>
      </w:r>
      <w:r w:rsidR="0096352E" w:rsidRPr="00CA4C7E">
        <w:t xml:space="preserve"> If multiple models are used specify which variables enter into each model.</w:t>
      </w:r>
    </w:p>
    <w:p w14:paraId="4B55D61E" w14:textId="15F6ACEB" w:rsidR="00E808DA" w:rsidRPr="00CA4C7E" w:rsidRDefault="00E808DA" w:rsidP="00CA4C7E">
      <w:pPr>
        <w:pStyle w:val="ListParagraph"/>
        <w:numPr>
          <w:ilvl w:val="0"/>
          <w:numId w:val="3"/>
        </w:numPr>
      </w:pPr>
      <w:r w:rsidRPr="00CA4C7E">
        <w:rPr>
          <w:b/>
        </w:rPr>
        <w:t>Computational resources:</w:t>
      </w:r>
      <w:r w:rsidRPr="00CA4C7E">
        <w:t xml:space="preserve"> What </w:t>
      </w:r>
      <w:r w:rsidR="00F1290A" w:rsidRPr="00CA4C7E">
        <w:t>programming languages/software tools were</w:t>
      </w:r>
      <w:r w:rsidRPr="00CA4C7E">
        <w:t xml:space="preserve"> used to write and execute the </w:t>
      </w:r>
      <w:r w:rsidR="00F1290A" w:rsidRPr="00CA4C7E">
        <w:t>forecasts?</w:t>
      </w:r>
    </w:p>
    <w:p w14:paraId="37042619" w14:textId="77686CEE" w:rsidR="00E808DA" w:rsidRPr="00CA4C7E" w:rsidRDefault="00E808DA" w:rsidP="00CA4C7E">
      <w:pPr>
        <w:pStyle w:val="ListParagraph"/>
        <w:numPr>
          <w:ilvl w:val="0"/>
          <w:numId w:val="3"/>
        </w:numPr>
      </w:pPr>
      <w:r w:rsidRPr="00CA4C7E">
        <w:rPr>
          <w:b/>
        </w:rPr>
        <w:t>Publications:</w:t>
      </w:r>
      <w:r w:rsidRPr="00CA4C7E">
        <w:t xml:space="preserve"> Does the model derive directly from previously published work? If so please include references.</w:t>
      </w:r>
    </w:p>
    <w:p w14:paraId="2AC54B72" w14:textId="77777777" w:rsidR="005565A0" w:rsidRPr="00CA4C7E" w:rsidRDefault="005565A0"/>
    <w:p w14:paraId="3F8BA0EB" w14:textId="74F79723" w:rsidR="005565A0" w:rsidRPr="00CA4C7E" w:rsidRDefault="005565A0">
      <w:r w:rsidRPr="00CA4C7E">
        <w:br w:type="page"/>
      </w:r>
    </w:p>
    <w:p w14:paraId="2D72CCBE" w14:textId="326AF89C" w:rsidR="007E3FF3" w:rsidRPr="00CA4C7E" w:rsidRDefault="00EF654F" w:rsidP="006B05BA">
      <w:pPr>
        <w:pStyle w:val="NoSpacing"/>
        <w:rPr>
          <w:b/>
          <w:sz w:val="28"/>
        </w:rPr>
      </w:pPr>
      <w:r w:rsidRPr="00CA4C7E">
        <w:rPr>
          <w:b/>
          <w:sz w:val="28"/>
        </w:rPr>
        <w:lastRenderedPageBreak/>
        <w:t>Appendix</w:t>
      </w:r>
      <w:r w:rsidR="007E3FF3" w:rsidRPr="00CA4C7E">
        <w:rPr>
          <w:b/>
          <w:sz w:val="28"/>
        </w:rPr>
        <w:t xml:space="preserve"> </w:t>
      </w:r>
      <w:r w:rsidR="00033262" w:rsidRPr="00CA4C7E">
        <w:rPr>
          <w:b/>
          <w:sz w:val="28"/>
        </w:rPr>
        <w:t xml:space="preserve">2 </w:t>
      </w:r>
      <w:r w:rsidR="00693B75" w:rsidRPr="00CA4C7E">
        <w:rPr>
          <w:b/>
          <w:sz w:val="28"/>
        </w:rPr>
        <w:t>– Forecast format</w:t>
      </w:r>
    </w:p>
    <w:p w14:paraId="4E5EBB99" w14:textId="77777777" w:rsidR="000E3C0C" w:rsidRPr="00CA4C7E" w:rsidRDefault="000E3C0C" w:rsidP="006B05BA">
      <w:pPr>
        <w:pStyle w:val="NoSpacing"/>
      </w:pPr>
    </w:p>
    <w:p w14:paraId="72DC2493" w14:textId="29EDDA2A" w:rsidR="00EB1877" w:rsidRPr="00CA4C7E" w:rsidRDefault="00B93850" w:rsidP="00B93850">
      <w:pPr>
        <w:pStyle w:val="NoSpacing"/>
      </w:pPr>
      <w:r w:rsidRPr="00CA4C7E">
        <w:t>Forecasts should be submitted as separate csv files for each location and each forecasting target using the provided templates. The name convention for the files is [</w:t>
      </w:r>
      <w:proofErr w:type="spellStart"/>
      <w:r w:rsidRPr="00CA4C7E">
        <w:t>teamname</w:t>
      </w:r>
      <w:proofErr w:type="spellEnd"/>
      <w:proofErr w:type="gramStart"/>
      <w:r w:rsidRPr="00CA4C7E">
        <w:t>]</w:t>
      </w:r>
      <w:r w:rsidR="005C3D39" w:rsidRPr="00CA4C7E">
        <w:t>_</w:t>
      </w:r>
      <w:proofErr w:type="gramEnd"/>
      <w:r w:rsidRPr="00CA4C7E">
        <w:t>[target]</w:t>
      </w:r>
      <w:r w:rsidR="005C3D39" w:rsidRPr="00CA4C7E">
        <w:t>_[location]</w:t>
      </w:r>
      <w:r w:rsidR="00EB1877" w:rsidRPr="00CA4C7E">
        <w:t>_[dataset]</w:t>
      </w:r>
      <w:r w:rsidRPr="00CA4C7E">
        <w:t xml:space="preserve">.csv. </w:t>
      </w:r>
      <w:proofErr w:type="gramStart"/>
      <w:r w:rsidRPr="00CA4C7E">
        <w:t>For example,</w:t>
      </w:r>
      <w:r w:rsidR="00EE3873" w:rsidRPr="00CA4C7E">
        <w:t xml:space="preserve"> Team A’s</w:t>
      </w:r>
      <w:r w:rsidRPr="00CA4C7E">
        <w:t xml:space="preserve"> forecasts for</w:t>
      </w:r>
      <w:r w:rsidR="00902A0D" w:rsidRPr="00CA4C7E">
        <w:t xml:space="preserve"> the</w:t>
      </w:r>
      <w:r w:rsidRPr="00CA4C7E">
        <w:t xml:space="preserve"> </w:t>
      </w:r>
      <w:r w:rsidR="00902A0D" w:rsidRPr="00CA4C7E">
        <w:t xml:space="preserve">week of peak incidence </w:t>
      </w:r>
      <w:r w:rsidR="00EE3873" w:rsidRPr="00CA4C7E">
        <w:t>for</w:t>
      </w:r>
      <w:r w:rsidRPr="00CA4C7E">
        <w:t xml:space="preserve"> San Juan</w:t>
      </w:r>
      <w:r w:rsidR="00EB1877" w:rsidRPr="00CA4C7E">
        <w:t xml:space="preserve"> in the training seasons</w:t>
      </w:r>
      <w:r w:rsidRPr="00CA4C7E">
        <w:t xml:space="preserve"> should be submitted as “</w:t>
      </w:r>
      <w:proofErr w:type="spellStart"/>
      <w:r w:rsidR="00EE3873" w:rsidRPr="00CA4C7E">
        <w:t>teama</w:t>
      </w:r>
      <w:proofErr w:type="spellEnd"/>
      <w:r w:rsidRPr="00CA4C7E">
        <w:t>_</w:t>
      </w:r>
      <w:r w:rsidR="00EB1877" w:rsidRPr="00CA4C7E">
        <w:t xml:space="preserve"> </w:t>
      </w:r>
      <w:r w:rsidRPr="00CA4C7E">
        <w:t>peakweek</w:t>
      </w:r>
      <w:r w:rsidR="005C3D39" w:rsidRPr="00CA4C7E">
        <w:t>_</w:t>
      </w:r>
      <w:r w:rsidR="00EE3873" w:rsidRPr="00CA4C7E">
        <w:t>sanjuan</w:t>
      </w:r>
      <w:r w:rsidR="00EB1877" w:rsidRPr="00CA4C7E">
        <w:t>_train</w:t>
      </w:r>
      <w:r w:rsidRPr="00CA4C7E">
        <w:t>.csv”.</w:t>
      </w:r>
      <w:proofErr w:type="gramEnd"/>
    </w:p>
    <w:p w14:paraId="3B5C7A98" w14:textId="77777777" w:rsidR="00EB1877" w:rsidRPr="00CA4C7E" w:rsidRDefault="00EB1877" w:rsidP="00B93850">
      <w:pPr>
        <w:pStyle w:val="NoSpacing"/>
      </w:pPr>
    </w:p>
    <w:p w14:paraId="26A8E53E" w14:textId="5BE29405" w:rsidR="00EB1877" w:rsidRPr="00CA4C7E" w:rsidRDefault="00BF3E7C" w:rsidP="006B05BA">
      <w:pPr>
        <w:pStyle w:val="NoSpacing"/>
      </w:pPr>
      <w:r w:rsidRPr="00CA4C7E">
        <w:t xml:space="preserve">Templates </w:t>
      </w:r>
      <w:r w:rsidR="00B93850" w:rsidRPr="00CA4C7E">
        <w:t>are</w:t>
      </w:r>
      <w:r w:rsidRPr="00CA4C7E">
        <w:t xml:space="preserve"> provided </w:t>
      </w:r>
      <w:r w:rsidR="00ED3C89" w:rsidRPr="00CA4C7E">
        <w:t xml:space="preserve">for each location and forecasting target. The header row </w:t>
      </w:r>
      <w:r w:rsidR="00EB1877" w:rsidRPr="00CA4C7E">
        <w:t xml:space="preserve">in each of these </w:t>
      </w:r>
      <w:r w:rsidR="00B93850" w:rsidRPr="00CA4C7E">
        <w:t>indicates</w:t>
      </w:r>
      <w:r w:rsidR="00ED3C89" w:rsidRPr="00CA4C7E">
        <w:t xml:space="preserve"> the</w:t>
      </w:r>
      <w:r w:rsidR="00B93850" w:rsidRPr="00CA4C7E">
        <w:t xml:space="preserve"> transmission season for which the forecast should be made and the</w:t>
      </w:r>
      <w:r w:rsidR="00ED3C89" w:rsidRPr="00CA4C7E">
        <w:t xml:space="preserve"> </w:t>
      </w:r>
      <w:r w:rsidR="00B93850" w:rsidRPr="00CA4C7E">
        <w:t>most recent data</w:t>
      </w:r>
      <w:r w:rsidR="00E74906" w:rsidRPr="00CA4C7E">
        <w:t xml:space="preserve"> </w:t>
      </w:r>
      <w:r w:rsidR="00B93850" w:rsidRPr="00CA4C7E">
        <w:t>that may be use</w:t>
      </w:r>
      <w:r w:rsidR="00EB1877" w:rsidRPr="00CA4C7E">
        <w:t>d</w:t>
      </w:r>
      <w:r w:rsidR="00B93850" w:rsidRPr="00CA4C7E">
        <w:t xml:space="preserve"> for the forecast.</w:t>
      </w:r>
      <w:r w:rsidR="007071BA" w:rsidRPr="00CA4C7E">
        <w:t xml:space="preserve"> The format of the column names is “</w:t>
      </w:r>
      <w:r w:rsidR="007071BA" w:rsidRPr="00CA4C7E">
        <w:rPr>
          <w:rFonts w:ascii="Calibri" w:hAnsi="Calibri" w:cs="Calibri"/>
          <w:color w:val="000000"/>
        </w:rPr>
        <w:t xml:space="preserve">2009/2010_wk4” where “2009/2010” indicates the dengue season over which the forecast should occur and “wk4” is the most recent data that may be used in that forecast. For example, a peak incidence forecast for </w:t>
      </w:r>
      <w:r w:rsidR="007071BA" w:rsidRPr="00CA4C7E">
        <w:t>“</w:t>
      </w:r>
      <w:r w:rsidR="007071BA" w:rsidRPr="00CA4C7E">
        <w:rPr>
          <w:rFonts w:ascii="Calibri" w:hAnsi="Calibri" w:cs="Calibri"/>
          <w:color w:val="000000"/>
        </w:rPr>
        <w:t xml:space="preserve">2009/2010_wk4” would be the forecast for peak weekly incidence in the 2009/2010 season using only data available through Week 4 of </w:t>
      </w:r>
      <w:r w:rsidR="00A11714" w:rsidRPr="00CA4C7E">
        <w:rPr>
          <w:rFonts w:ascii="Calibri" w:hAnsi="Calibri" w:cs="Calibri"/>
          <w:color w:val="000000"/>
        </w:rPr>
        <w:t>the 2009/2010 season</w:t>
      </w:r>
      <w:r w:rsidR="007071BA" w:rsidRPr="00CA4C7E">
        <w:rPr>
          <w:rFonts w:ascii="Calibri" w:hAnsi="Calibri" w:cs="Calibri"/>
          <w:color w:val="000000"/>
        </w:rPr>
        <w:t xml:space="preserve">. Note that predictions at Week </w:t>
      </w:r>
      <w:proofErr w:type="gramStart"/>
      <w:r w:rsidR="007071BA" w:rsidRPr="00CA4C7E">
        <w:rPr>
          <w:rFonts w:ascii="Calibri" w:hAnsi="Calibri" w:cs="Calibri"/>
          <w:color w:val="000000"/>
        </w:rPr>
        <w:t>0,</w:t>
      </w:r>
      <w:proofErr w:type="gramEnd"/>
      <w:r w:rsidR="007071BA" w:rsidRPr="00CA4C7E">
        <w:rPr>
          <w:rFonts w:ascii="Calibri" w:hAnsi="Calibri" w:cs="Calibri"/>
          <w:color w:val="000000"/>
        </w:rPr>
        <w:t xml:space="preserve"> cannot use any data from the target transmission season, only previous seasons.</w:t>
      </w:r>
    </w:p>
    <w:p w14:paraId="1D1D1CA8" w14:textId="77777777" w:rsidR="00EB1877" w:rsidRPr="00CA4C7E" w:rsidRDefault="00EB1877" w:rsidP="006B05BA">
      <w:pPr>
        <w:pStyle w:val="NoSpacing"/>
      </w:pPr>
    </w:p>
    <w:p w14:paraId="3CC3F019" w14:textId="7012C350" w:rsidR="009B3944" w:rsidRPr="00CA4C7E" w:rsidRDefault="007071BA" w:rsidP="006529DB">
      <w:pPr>
        <w:pStyle w:val="NoSpacing"/>
        <w:rPr>
          <w:b/>
          <w:sz w:val="28"/>
        </w:rPr>
      </w:pPr>
      <w:r w:rsidRPr="00CA4C7E">
        <w:t>The row names in each template</w:t>
      </w:r>
      <w:r w:rsidR="00A11714" w:rsidRPr="00CA4C7E">
        <w:t xml:space="preserve"> indicate the prediction that should be made. “</w:t>
      </w:r>
      <w:proofErr w:type="gramStart"/>
      <w:r w:rsidR="009B3944" w:rsidRPr="00CA4C7E">
        <w:t>p</w:t>
      </w:r>
      <w:r w:rsidR="00A11714" w:rsidRPr="00CA4C7E">
        <w:t>oint</w:t>
      </w:r>
      <w:proofErr w:type="gramEnd"/>
      <w:r w:rsidR="00A11714" w:rsidRPr="00CA4C7E">
        <w:t>” refers to a point prediction, i.e. the most likely outcome for the specific target. The units should be weeks for the week of peak inc</w:t>
      </w:r>
      <w:r w:rsidR="009B3944" w:rsidRPr="00CA4C7E">
        <w:t>idence and cases for the peak</w:t>
      </w:r>
      <w:r w:rsidR="00A11714" w:rsidRPr="00CA4C7E">
        <w:t xml:space="preserve"> weekly incidence</w:t>
      </w:r>
      <w:r w:rsidR="009B3944" w:rsidRPr="00CA4C7E">
        <w:t xml:space="preserve"> and total incidence for the season. The following rows indicate a binned probability distribution for the target which may</w:t>
      </w:r>
      <w:r w:rsidRPr="00CA4C7E">
        <w:t xml:space="preserve"> differ according to the target and the location.</w:t>
      </w:r>
      <w:r w:rsidR="009B3944" w:rsidRPr="00CA4C7E">
        <w:t xml:space="preserve"> For peak week, these rows are "</w:t>
      </w:r>
      <w:proofErr w:type="gramStart"/>
      <w:r w:rsidR="009B3944" w:rsidRPr="00CA4C7E">
        <w:t>p(</w:t>
      </w:r>
      <w:proofErr w:type="spellStart"/>
      <w:proofErr w:type="gramEnd"/>
      <w:r w:rsidR="009B3944" w:rsidRPr="00CA4C7E">
        <w:t>peak_week</w:t>
      </w:r>
      <w:proofErr w:type="spellEnd"/>
      <w:r w:rsidR="009B3944" w:rsidRPr="00CA4C7E">
        <w:t>=1)" through "p(</w:t>
      </w:r>
      <w:proofErr w:type="spellStart"/>
      <w:r w:rsidR="009B3944" w:rsidRPr="00CA4C7E">
        <w:t>peak_week</w:t>
      </w:r>
      <w:proofErr w:type="spellEnd"/>
      <w:r w:rsidR="009B3944" w:rsidRPr="00CA4C7E">
        <w:t>=52)". "</w:t>
      </w:r>
      <w:proofErr w:type="gramStart"/>
      <w:r w:rsidR="009B3944" w:rsidRPr="00CA4C7E">
        <w:t>p(</w:t>
      </w:r>
      <w:proofErr w:type="spellStart"/>
      <w:proofErr w:type="gramEnd"/>
      <w:r w:rsidR="009B3944" w:rsidRPr="00CA4C7E">
        <w:t>peak_week</w:t>
      </w:r>
      <w:proofErr w:type="spellEnd"/>
      <w:r w:rsidR="009B3944" w:rsidRPr="00CA4C7E">
        <w:t xml:space="preserve">=1)" is the probability (between 0 and 1) that the peak occurs in the first week of the season. </w:t>
      </w:r>
    </w:p>
    <w:p w14:paraId="5EBAF2FD" w14:textId="32AB67CE" w:rsidR="007071BA" w:rsidRPr="00CA4C7E" w:rsidRDefault="007071BA" w:rsidP="006B05BA">
      <w:pPr>
        <w:pStyle w:val="NoSpacing"/>
      </w:pPr>
    </w:p>
    <w:p w14:paraId="4532B9B0" w14:textId="460A6509" w:rsidR="00EF6042" w:rsidRPr="00CA4C7E" w:rsidRDefault="009B3944" w:rsidP="006B05BA">
      <w:pPr>
        <w:pStyle w:val="NoSpacing"/>
      </w:pPr>
      <w:r w:rsidRPr="00CA4C7E">
        <w:t>For the peak weekly incidence and total incidence</w:t>
      </w:r>
      <w:r w:rsidR="000405F4" w:rsidRPr="00CA4C7E">
        <w:t xml:space="preserve"> for the season, these probabilities are based on the distributions of cases observed in the each location and represent a range of numbers of cases. As an example, for peak weekly incidence in San Juan, “</w:t>
      </w:r>
      <w:proofErr w:type="gramStart"/>
      <w:r w:rsidR="000405F4" w:rsidRPr="00CA4C7E">
        <w:t>p(</w:t>
      </w:r>
      <w:proofErr w:type="gramEnd"/>
      <w:r w:rsidR="000405F4" w:rsidRPr="00CA4C7E">
        <w:t>0&lt;=</w:t>
      </w:r>
      <w:proofErr w:type="spellStart"/>
      <w:r w:rsidR="000405F4" w:rsidRPr="00CA4C7E">
        <w:t>peak_incidence</w:t>
      </w:r>
      <w:proofErr w:type="spellEnd"/>
      <w:r w:rsidR="000405F4" w:rsidRPr="00CA4C7E">
        <w:t>&lt;50)” is the probability that maximum weekly number of cases observed during the season is less than 50 cases and “p(150&lt;=</w:t>
      </w:r>
      <w:proofErr w:type="spellStart"/>
      <w:r w:rsidR="000405F4" w:rsidRPr="00CA4C7E">
        <w:t>peak_incidence</w:t>
      </w:r>
      <w:proofErr w:type="spellEnd"/>
      <w:r w:rsidR="000405F4" w:rsidRPr="00CA4C7E">
        <w:t>&lt;200)” is the probability that the maximum is between 150 and 200 cases. For total incidence in the season, the probabilities are expressed as “</w:t>
      </w:r>
      <w:proofErr w:type="gramStart"/>
      <w:r w:rsidR="00EF6042" w:rsidRPr="00CA4C7E">
        <w:t>p(</w:t>
      </w:r>
      <w:proofErr w:type="gramEnd"/>
      <w:r w:rsidR="00EF6042" w:rsidRPr="00CA4C7E">
        <w:t>50</w:t>
      </w:r>
      <w:r w:rsidR="000405F4" w:rsidRPr="00CA4C7E">
        <w:t>00&lt;=</w:t>
      </w:r>
      <w:proofErr w:type="spellStart"/>
      <w:r w:rsidR="00EF6042" w:rsidRPr="00CA4C7E">
        <w:t>season_incidence</w:t>
      </w:r>
      <w:proofErr w:type="spellEnd"/>
      <w:r w:rsidR="00EF6042" w:rsidRPr="00CA4C7E">
        <w:t>&lt;60</w:t>
      </w:r>
      <w:r w:rsidR="000405F4" w:rsidRPr="00CA4C7E">
        <w:t>00)”</w:t>
      </w:r>
      <w:r w:rsidR="00EF6042" w:rsidRPr="00CA4C7E">
        <w:t>. For the specific bins for each location, please see the templates themselves.</w:t>
      </w:r>
    </w:p>
    <w:p w14:paraId="4508B099" w14:textId="77777777" w:rsidR="007071BA" w:rsidRPr="00CA4C7E" w:rsidRDefault="007071BA" w:rsidP="006B05BA">
      <w:pPr>
        <w:pStyle w:val="NoSpacing"/>
      </w:pPr>
    </w:p>
    <w:p w14:paraId="2761C598" w14:textId="162C0517" w:rsidR="00EF6042" w:rsidRPr="00CA4C7E" w:rsidRDefault="00EF6042" w:rsidP="006B05BA">
      <w:pPr>
        <w:pStyle w:val="NoSpacing"/>
      </w:pPr>
      <w:r w:rsidRPr="00CA4C7E">
        <w:t xml:space="preserve">EXAMPLE: Each forecast is a column in a csv file that uses a specific set of data and makes a point and probability distribution forecast for a specific target in a specific season. For total seasonal incidence in San Juan in 2010/2011, a prediction may be made at Week 8 of the season. It may use any data from Week 8 of the 2010/2011 and data from any earlier week. </w:t>
      </w:r>
      <w:r w:rsidR="005D69EB" w:rsidRPr="00CA4C7E">
        <w:t xml:space="preserve">An example is shown below. </w:t>
      </w:r>
      <w:r w:rsidRPr="00CA4C7E">
        <w:t>The forecast consists of a point forecast (6,</w:t>
      </w:r>
      <w:r w:rsidR="005D69EB" w:rsidRPr="00CA4C7E">
        <w:t>291</w:t>
      </w:r>
      <w:r w:rsidRPr="00CA4C7E">
        <w:t xml:space="preserve"> cases) and a probability distribution</w:t>
      </w:r>
      <w:r w:rsidR="005D69EB" w:rsidRPr="00CA4C7E">
        <w:t xml:space="preserve"> which sums to 1</w:t>
      </w:r>
      <w:r w:rsidR="000061AB" w:rsidRPr="00CA4C7E">
        <w:t>.0</w:t>
      </w:r>
      <w:r w:rsidR="005D69EB" w:rsidRPr="00CA4C7E">
        <w:t>.</w:t>
      </w:r>
      <w:r w:rsidR="000061AB" w:rsidRPr="00CA4C7E">
        <w:t xml:space="preserve"> Not that there is a probability assigned to each outcome, even if that probability is zero.</w:t>
      </w:r>
    </w:p>
    <w:p w14:paraId="23E2E014" w14:textId="77777777" w:rsidR="005D69EB" w:rsidRPr="00CA4C7E" w:rsidRDefault="005D69EB" w:rsidP="006B05BA">
      <w:pPr>
        <w:pStyle w:val="NoSpacing"/>
      </w:pPr>
    </w:p>
    <w:tbl>
      <w:tblPr>
        <w:tblStyle w:val="TableGrid"/>
        <w:tblW w:w="0" w:type="auto"/>
        <w:tblLook w:val="04A0" w:firstRow="1" w:lastRow="0" w:firstColumn="1" w:lastColumn="0" w:noHBand="0" w:noVBand="1"/>
      </w:tblPr>
      <w:tblGrid>
        <w:gridCol w:w="3380"/>
        <w:gridCol w:w="598"/>
        <w:gridCol w:w="2047"/>
        <w:gridCol w:w="630"/>
      </w:tblGrid>
      <w:tr w:rsidR="005D69EB" w:rsidRPr="00CA4C7E" w14:paraId="59BE47B5" w14:textId="77777777" w:rsidTr="006529DB">
        <w:tc>
          <w:tcPr>
            <w:tcW w:w="3380" w:type="dxa"/>
          </w:tcPr>
          <w:p w14:paraId="403DC56E" w14:textId="77777777" w:rsidR="005D69EB" w:rsidRPr="00CA4C7E" w:rsidRDefault="005D69EB" w:rsidP="006529DB">
            <w:pPr>
              <w:pStyle w:val="NoSpacing"/>
              <w:jc w:val="right"/>
            </w:pPr>
          </w:p>
        </w:tc>
        <w:tc>
          <w:tcPr>
            <w:tcW w:w="598" w:type="dxa"/>
          </w:tcPr>
          <w:p w14:paraId="1CCBEF58" w14:textId="67E37954" w:rsidR="005D69EB" w:rsidRPr="00CA4C7E" w:rsidRDefault="005D69EB" w:rsidP="006529DB">
            <w:pPr>
              <w:pStyle w:val="NoSpacing"/>
              <w:jc w:val="center"/>
            </w:pPr>
            <w:r w:rsidRPr="00CA4C7E">
              <w:t>…</w:t>
            </w:r>
          </w:p>
        </w:tc>
        <w:tc>
          <w:tcPr>
            <w:tcW w:w="1710" w:type="dxa"/>
          </w:tcPr>
          <w:p w14:paraId="7356A6A1" w14:textId="1D9E33E7" w:rsidR="005D69EB" w:rsidRPr="00CA4C7E" w:rsidRDefault="005D69EB" w:rsidP="006B05BA">
            <w:pPr>
              <w:pStyle w:val="NoSpacing"/>
            </w:pPr>
            <w:r w:rsidRPr="00CA4C7E">
              <w:t>2010/2011_wk8</w:t>
            </w:r>
          </w:p>
        </w:tc>
        <w:tc>
          <w:tcPr>
            <w:tcW w:w="630" w:type="dxa"/>
          </w:tcPr>
          <w:p w14:paraId="5E435FC7" w14:textId="0C3FCA80" w:rsidR="005D69EB" w:rsidRPr="00CA4C7E" w:rsidRDefault="005D69EB" w:rsidP="006529DB">
            <w:pPr>
              <w:pStyle w:val="NoSpacing"/>
              <w:jc w:val="center"/>
            </w:pPr>
            <w:r w:rsidRPr="00CA4C7E">
              <w:t>…</w:t>
            </w:r>
          </w:p>
        </w:tc>
      </w:tr>
      <w:tr w:rsidR="005D69EB" w:rsidRPr="00CA4C7E" w14:paraId="785BED47" w14:textId="77777777" w:rsidTr="006529DB">
        <w:tc>
          <w:tcPr>
            <w:tcW w:w="3380" w:type="dxa"/>
            <w:vAlign w:val="bottom"/>
          </w:tcPr>
          <w:p w14:paraId="4AA0445E" w14:textId="16BFB4FF" w:rsidR="005D69EB" w:rsidRPr="00CA4C7E" w:rsidRDefault="005D69EB" w:rsidP="006529DB">
            <w:pPr>
              <w:pStyle w:val="NoSpacing"/>
              <w:jc w:val="right"/>
            </w:pPr>
            <w:r w:rsidRPr="00CA4C7E">
              <w:rPr>
                <w:rFonts w:ascii="Calibri" w:hAnsi="Calibri"/>
                <w:color w:val="000000"/>
              </w:rPr>
              <w:t>point</w:t>
            </w:r>
          </w:p>
        </w:tc>
        <w:tc>
          <w:tcPr>
            <w:tcW w:w="598" w:type="dxa"/>
          </w:tcPr>
          <w:p w14:paraId="016B9CB9" w14:textId="77777777" w:rsidR="005D69EB" w:rsidRPr="00CA4C7E" w:rsidRDefault="005D69EB" w:rsidP="006529DB">
            <w:pPr>
              <w:pStyle w:val="NoSpacing"/>
              <w:jc w:val="center"/>
            </w:pPr>
          </w:p>
        </w:tc>
        <w:tc>
          <w:tcPr>
            <w:tcW w:w="1710" w:type="dxa"/>
          </w:tcPr>
          <w:p w14:paraId="1EC11001" w14:textId="553464E1" w:rsidR="005D69EB" w:rsidRPr="00CA4C7E" w:rsidRDefault="005D69EB" w:rsidP="006529DB">
            <w:pPr>
              <w:pStyle w:val="NoSpacing"/>
              <w:jc w:val="right"/>
            </w:pPr>
            <w:r w:rsidRPr="00CA4C7E">
              <w:t>6291</w:t>
            </w:r>
          </w:p>
        </w:tc>
        <w:tc>
          <w:tcPr>
            <w:tcW w:w="630" w:type="dxa"/>
          </w:tcPr>
          <w:p w14:paraId="6F8FBD3E" w14:textId="77777777" w:rsidR="005D69EB" w:rsidRPr="00CA4C7E" w:rsidRDefault="005D69EB" w:rsidP="006529DB">
            <w:pPr>
              <w:pStyle w:val="NoSpacing"/>
              <w:jc w:val="center"/>
            </w:pPr>
          </w:p>
        </w:tc>
      </w:tr>
      <w:tr w:rsidR="005D69EB" w:rsidRPr="00CA4C7E" w14:paraId="2D4D0B89" w14:textId="77777777" w:rsidTr="006529DB">
        <w:tc>
          <w:tcPr>
            <w:tcW w:w="3380" w:type="dxa"/>
            <w:vAlign w:val="bottom"/>
          </w:tcPr>
          <w:p w14:paraId="6D7EF81F" w14:textId="538F5B60" w:rsidR="005D69EB" w:rsidRPr="00CA4C7E" w:rsidRDefault="005D69EB" w:rsidP="006529DB">
            <w:pPr>
              <w:pStyle w:val="NoSpacing"/>
              <w:jc w:val="right"/>
            </w:pPr>
            <w:r w:rsidRPr="00CA4C7E">
              <w:rPr>
                <w:rFonts w:ascii="Calibri" w:hAnsi="Calibri"/>
                <w:color w:val="000000"/>
              </w:rPr>
              <w:t>p(0&lt;=</w:t>
            </w:r>
            <w:proofErr w:type="spellStart"/>
            <w:r w:rsidRPr="00CA4C7E">
              <w:rPr>
                <w:rFonts w:ascii="Calibri" w:hAnsi="Calibri"/>
                <w:color w:val="000000"/>
              </w:rPr>
              <w:t>season_incidence</w:t>
            </w:r>
            <w:proofErr w:type="spellEnd"/>
            <w:r w:rsidRPr="00CA4C7E">
              <w:rPr>
                <w:rFonts w:ascii="Calibri" w:hAnsi="Calibri"/>
                <w:color w:val="000000"/>
              </w:rPr>
              <w:t>&lt;1000)</w:t>
            </w:r>
          </w:p>
        </w:tc>
        <w:tc>
          <w:tcPr>
            <w:tcW w:w="598" w:type="dxa"/>
          </w:tcPr>
          <w:p w14:paraId="3B01BF60" w14:textId="77777777" w:rsidR="005D69EB" w:rsidRPr="00CA4C7E" w:rsidRDefault="005D69EB" w:rsidP="006529DB">
            <w:pPr>
              <w:pStyle w:val="NoSpacing"/>
              <w:jc w:val="center"/>
            </w:pPr>
          </w:p>
        </w:tc>
        <w:tc>
          <w:tcPr>
            <w:tcW w:w="1710" w:type="dxa"/>
          </w:tcPr>
          <w:p w14:paraId="1B5D1AA6" w14:textId="41287867" w:rsidR="005D69EB" w:rsidRPr="00CA4C7E" w:rsidRDefault="005D69EB" w:rsidP="006529DB">
            <w:pPr>
              <w:pStyle w:val="NoSpacing"/>
              <w:jc w:val="right"/>
            </w:pPr>
            <w:r w:rsidRPr="00CA4C7E">
              <w:t>0.0</w:t>
            </w:r>
          </w:p>
        </w:tc>
        <w:tc>
          <w:tcPr>
            <w:tcW w:w="630" w:type="dxa"/>
          </w:tcPr>
          <w:p w14:paraId="5DD41C42" w14:textId="77777777" w:rsidR="005D69EB" w:rsidRPr="00CA4C7E" w:rsidRDefault="005D69EB" w:rsidP="006529DB">
            <w:pPr>
              <w:pStyle w:val="NoSpacing"/>
              <w:jc w:val="center"/>
            </w:pPr>
          </w:p>
        </w:tc>
      </w:tr>
      <w:tr w:rsidR="005D69EB" w:rsidRPr="00CA4C7E" w14:paraId="31D3B762" w14:textId="77777777" w:rsidTr="006529DB">
        <w:tc>
          <w:tcPr>
            <w:tcW w:w="3380" w:type="dxa"/>
            <w:vAlign w:val="bottom"/>
          </w:tcPr>
          <w:p w14:paraId="1DDE4696" w14:textId="3DB14951" w:rsidR="005D69EB" w:rsidRPr="00CA4C7E" w:rsidRDefault="005D69EB" w:rsidP="006529DB">
            <w:pPr>
              <w:pStyle w:val="NoSpacing"/>
              <w:jc w:val="right"/>
            </w:pPr>
            <w:r w:rsidRPr="00CA4C7E">
              <w:rPr>
                <w:rFonts w:ascii="Calibri" w:hAnsi="Calibri"/>
                <w:color w:val="000000"/>
              </w:rPr>
              <w:t>p(1000&lt;=</w:t>
            </w:r>
            <w:proofErr w:type="spellStart"/>
            <w:r w:rsidRPr="00CA4C7E">
              <w:rPr>
                <w:rFonts w:ascii="Calibri" w:hAnsi="Calibri"/>
                <w:color w:val="000000"/>
              </w:rPr>
              <w:t>season_incidence</w:t>
            </w:r>
            <w:proofErr w:type="spellEnd"/>
            <w:r w:rsidRPr="00CA4C7E">
              <w:rPr>
                <w:rFonts w:ascii="Calibri" w:hAnsi="Calibri"/>
                <w:color w:val="000000"/>
              </w:rPr>
              <w:t>&lt;2000)</w:t>
            </w:r>
          </w:p>
        </w:tc>
        <w:tc>
          <w:tcPr>
            <w:tcW w:w="598" w:type="dxa"/>
          </w:tcPr>
          <w:p w14:paraId="7346AF26" w14:textId="77777777" w:rsidR="005D69EB" w:rsidRPr="00CA4C7E" w:rsidRDefault="005D69EB" w:rsidP="006529DB">
            <w:pPr>
              <w:pStyle w:val="NoSpacing"/>
              <w:jc w:val="center"/>
            </w:pPr>
          </w:p>
        </w:tc>
        <w:tc>
          <w:tcPr>
            <w:tcW w:w="1710" w:type="dxa"/>
          </w:tcPr>
          <w:p w14:paraId="05A8DF11" w14:textId="489FD5F1" w:rsidR="005D69EB" w:rsidRPr="00CA4C7E" w:rsidRDefault="005D69EB" w:rsidP="006529DB">
            <w:pPr>
              <w:pStyle w:val="NoSpacing"/>
              <w:jc w:val="right"/>
            </w:pPr>
            <w:r w:rsidRPr="00CA4C7E">
              <w:t>0.0</w:t>
            </w:r>
          </w:p>
        </w:tc>
        <w:tc>
          <w:tcPr>
            <w:tcW w:w="630" w:type="dxa"/>
          </w:tcPr>
          <w:p w14:paraId="3A823FBB" w14:textId="77777777" w:rsidR="005D69EB" w:rsidRPr="00CA4C7E" w:rsidRDefault="005D69EB" w:rsidP="006529DB">
            <w:pPr>
              <w:pStyle w:val="NoSpacing"/>
              <w:jc w:val="center"/>
            </w:pPr>
          </w:p>
        </w:tc>
      </w:tr>
      <w:tr w:rsidR="005D69EB" w:rsidRPr="00CA4C7E" w14:paraId="63B76143" w14:textId="77777777" w:rsidTr="006529DB">
        <w:tc>
          <w:tcPr>
            <w:tcW w:w="3380" w:type="dxa"/>
            <w:vAlign w:val="bottom"/>
          </w:tcPr>
          <w:p w14:paraId="75DCFE99" w14:textId="5556814A" w:rsidR="005D69EB" w:rsidRPr="00CA4C7E" w:rsidRDefault="005D69EB" w:rsidP="006529DB">
            <w:pPr>
              <w:pStyle w:val="NoSpacing"/>
              <w:jc w:val="right"/>
            </w:pPr>
            <w:r w:rsidRPr="00CA4C7E">
              <w:rPr>
                <w:rFonts w:ascii="Calibri" w:hAnsi="Calibri"/>
                <w:color w:val="000000"/>
              </w:rPr>
              <w:t>p(2000&lt;=</w:t>
            </w:r>
            <w:proofErr w:type="spellStart"/>
            <w:r w:rsidRPr="00CA4C7E">
              <w:rPr>
                <w:rFonts w:ascii="Calibri" w:hAnsi="Calibri"/>
                <w:color w:val="000000"/>
              </w:rPr>
              <w:t>season_incidence</w:t>
            </w:r>
            <w:proofErr w:type="spellEnd"/>
            <w:r w:rsidRPr="00CA4C7E">
              <w:rPr>
                <w:rFonts w:ascii="Calibri" w:hAnsi="Calibri"/>
                <w:color w:val="000000"/>
              </w:rPr>
              <w:t>&lt;3000)</w:t>
            </w:r>
          </w:p>
        </w:tc>
        <w:tc>
          <w:tcPr>
            <w:tcW w:w="598" w:type="dxa"/>
          </w:tcPr>
          <w:p w14:paraId="3A203B6D" w14:textId="77777777" w:rsidR="005D69EB" w:rsidRPr="00CA4C7E" w:rsidRDefault="005D69EB" w:rsidP="006529DB">
            <w:pPr>
              <w:pStyle w:val="NoSpacing"/>
              <w:jc w:val="center"/>
            </w:pPr>
          </w:p>
        </w:tc>
        <w:tc>
          <w:tcPr>
            <w:tcW w:w="1710" w:type="dxa"/>
          </w:tcPr>
          <w:p w14:paraId="30004AB0" w14:textId="36DF662D" w:rsidR="005D69EB" w:rsidRPr="00CA4C7E" w:rsidRDefault="005D69EB" w:rsidP="006529DB">
            <w:pPr>
              <w:pStyle w:val="NoSpacing"/>
              <w:jc w:val="right"/>
            </w:pPr>
            <w:r w:rsidRPr="00CA4C7E">
              <w:t>0.0</w:t>
            </w:r>
          </w:p>
        </w:tc>
        <w:tc>
          <w:tcPr>
            <w:tcW w:w="630" w:type="dxa"/>
          </w:tcPr>
          <w:p w14:paraId="163E00F4" w14:textId="77777777" w:rsidR="005D69EB" w:rsidRPr="00CA4C7E" w:rsidRDefault="005D69EB" w:rsidP="006529DB">
            <w:pPr>
              <w:pStyle w:val="NoSpacing"/>
              <w:jc w:val="center"/>
            </w:pPr>
          </w:p>
        </w:tc>
      </w:tr>
      <w:tr w:rsidR="005D69EB" w:rsidRPr="00CA4C7E" w14:paraId="22041646" w14:textId="77777777" w:rsidTr="006529DB">
        <w:tc>
          <w:tcPr>
            <w:tcW w:w="3380" w:type="dxa"/>
            <w:vAlign w:val="bottom"/>
          </w:tcPr>
          <w:p w14:paraId="3F60AB69" w14:textId="72AADE0E" w:rsidR="005D69EB" w:rsidRPr="00CA4C7E" w:rsidRDefault="005D69EB" w:rsidP="006529DB">
            <w:pPr>
              <w:pStyle w:val="NoSpacing"/>
              <w:jc w:val="right"/>
            </w:pPr>
            <w:r w:rsidRPr="00CA4C7E">
              <w:rPr>
                <w:rFonts w:ascii="Calibri" w:hAnsi="Calibri"/>
                <w:color w:val="000000"/>
              </w:rPr>
              <w:t>p(3000&lt;=</w:t>
            </w:r>
            <w:proofErr w:type="spellStart"/>
            <w:r w:rsidRPr="00CA4C7E">
              <w:rPr>
                <w:rFonts w:ascii="Calibri" w:hAnsi="Calibri"/>
                <w:color w:val="000000"/>
              </w:rPr>
              <w:t>season_incidence</w:t>
            </w:r>
            <w:proofErr w:type="spellEnd"/>
            <w:r w:rsidRPr="00CA4C7E">
              <w:rPr>
                <w:rFonts w:ascii="Calibri" w:hAnsi="Calibri"/>
                <w:color w:val="000000"/>
              </w:rPr>
              <w:t>&lt;4000)</w:t>
            </w:r>
          </w:p>
        </w:tc>
        <w:tc>
          <w:tcPr>
            <w:tcW w:w="598" w:type="dxa"/>
          </w:tcPr>
          <w:p w14:paraId="7A9CA519" w14:textId="77777777" w:rsidR="005D69EB" w:rsidRPr="00CA4C7E" w:rsidRDefault="005D69EB" w:rsidP="006529DB">
            <w:pPr>
              <w:pStyle w:val="NoSpacing"/>
              <w:jc w:val="center"/>
            </w:pPr>
          </w:p>
        </w:tc>
        <w:tc>
          <w:tcPr>
            <w:tcW w:w="1710" w:type="dxa"/>
          </w:tcPr>
          <w:p w14:paraId="38289AC1" w14:textId="335FAE35" w:rsidR="005D69EB" w:rsidRPr="00CA4C7E" w:rsidRDefault="005D69EB" w:rsidP="006529DB">
            <w:pPr>
              <w:pStyle w:val="NoSpacing"/>
              <w:jc w:val="right"/>
            </w:pPr>
            <w:r w:rsidRPr="00CA4C7E">
              <w:t>0.0</w:t>
            </w:r>
          </w:p>
        </w:tc>
        <w:tc>
          <w:tcPr>
            <w:tcW w:w="630" w:type="dxa"/>
          </w:tcPr>
          <w:p w14:paraId="08C5A97F" w14:textId="77777777" w:rsidR="005D69EB" w:rsidRPr="00CA4C7E" w:rsidRDefault="005D69EB" w:rsidP="006529DB">
            <w:pPr>
              <w:pStyle w:val="NoSpacing"/>
              <w:jc w:val="center"/>
            </w:pPr>
          </w:p>
        </w:tc>
      </w:tr>
      <w:tr w:rsidR="005D69EB" w:rsidRPr="00CA4C7E" w14:paraId="552B614F" w14:textId="77777777" w:rsidTr="006529DB">
        <w:tc>
          <w:tcPr>
            <w:tcW w:w="3380" w:type="dxa"/>
            <w:vAlign w:val="bottom"/>
          </w:tcPr>
          <w:p w14:paraId="6FE8CE33" w14:textId="2015A7B0" w:rsidR="005D69EB" w:rsidRPr="00CA4C7E" w:rsidRDefault="005D69EB" w:rsidP="006529DB">
            <w:pPr>
              <w:pStyle w:val="NoSpacing"/>
              <w:jc w:val="right"/>
            </w:pPr>
            <w:r w:rsidRPr="00CA4C7E">
              <w:rPr>
                <w:rFonts w:ascii="Calibri" w:hAnsi="Calibri"/>
                <w:color w:val="000000"/>
              </w:rPr>
              <w:t>p(4000&lt;=</w:t>
            </w:r>
            <w:proofErr w:type="spellStart"/>
            <w:r w:rsidRPr="00CA4C7E">
              <w:rPr>
                <w:rFonts w:ascii="Calibri" w:hAnsi="Calibri"/>
                <w:color w:val="000000"/>
              </w:rPr>
              <w:t>season_incidence</w:t>
            </w:r>
            <w:proofErr w:type="spellEnd"/>
            <w:r w:rsidRPr="00CA4C7E">
              <w:rPr>
                <w:rFonts w:ascii="Calibri" w:hAnsi="Calibri"/>
                <w:color w:val="000000"/>
              </w:rPr>
              <w:t>&lt;5000)</w:t>
            </w:r>
          </w:p>
        </w:tc>
        <w:tc>
          <w:tcPr>
            <w:tcW w:w="598" w:type="dxa"/>
          </w:tcPr>
          <w:p w14:paraId="513B62AD" w14:textId="77777777" w:rsidR="005D69EB" w:rsidRPr="00CA4C7E" w:rsidRDefault="005D69EB" w:rsidP="006529DB">
            <w:pPr>
              <w:pStyle w:val="NoSpacing"/>
              <w:jc w:val="center"/>
            </w:pPr>
          </w:p>
        </w:tc>
        <w:tc>
          <w:tcPr>
            <w:tcW w:w="1710" w:type="dxa"/>
          </w:tcPr>
          <w:p w14:paraId="43DF3AE4" w14:textId="3082505E" w:rsidR="005D69EB" w:rsidRPr="00CA4C7E" w:rsidRDefault="005D69EB" w:rsidP="006529DB">
            <w:pPr>
              <w:pStyle w:val="NoSpacing"/>
              <w:jc w:val="right"/>
            </w:pPr>
            <w:r w:rsidRPr="00CA4C7E">
              <w:t>0.007</w:t>
            </w:r>
          </w:p>
        </w:tc>
        <w:tc>
          <w:tcPr>
            <w:tcW w:w="630" w:type="dxa"/>
          </w:tcPr>
          <w:p w14:paraId="65E31F0F" w14:textId="77777777" w:rsidR="005D69EB" w:rsidRPr="00CA4C7E" w:rsidRDefault="005D69EB" w:rsidP="006529DB">
            <w:pPr>
              <w:pStyle w:val="NoSpacing"/>
              <w:jc w:val="center"/>
            </w:pPr>
          </w:p>
        </w:tc>
      </w:tr>
      <w:tr w:rsidR="005D69EB" w:rsidRPr="00CA4C7E" w14:paraId="4616D6A1" w14:textId="77777777" w:rsidTr="006529DB">
        <w:tc>
          <w:tcPr>
            <w:tcW w:w="3380" w:type="dxa"/>
            <w:vAlign w:val="bottom"/>
          </w:tcPr>
          <w:p w14:paraId="795E31CB" w14:textId="79CED44A" w:rsidR="005D69EB" w:rsidRPr="00CA4C7E" w:rsidRDefault="005D69EB" w:rsidP="006529DB">
            <w:pPr>
              <w:pStyle w:val="NoSpacing"/>
              <w:jc w:val="right"/>
            </w:pPr>
            <w:r w:rsidRPr="00CA4C7E">
              <w:rPr>
                <w:rFonts w:ascii="Calibri" w:hAnsi="Calibri"/>
                <w:color w:val="000000"/>
              </w:rPr>
              <w:t>p(5000&lt;=</w:t>
            </w:r>
            <w:proofErr w:type="spellStart"/>
            <w:r w:rsidRPr="00CA4C7E">
              <w:rPr>
                <w:rFonts w:ascii="Calibri" w:hAnsi="Calibri"/>
                <w:color w:val="000000"/>
              </w:rPr>
              <w:t>season_incidence</w:t>
            </w:r>
            <w:proofErr w:type="spellEnd"/>
            <w:r w:rsidRPr="00CA4C7E">
              <w:rPr>
                <w:rFonts w:ascii="Calibri" w:hAnsi="Calibri"/>
                <w:color w:val="000000"/>
              </w:rPr>
              <w:t>&lt;6000)</w:t>
            </w:r>
          </w:p>
        </w:tc>
        <w:tc>
          <w:tcPr>
            <w:tcW w:w="598" w:type="dxa"/>
          </w:tcPr>
          <w:p w14:paraId="2DA9282A" w14:textId="77777777" w:rsidR="005D69EB" w:rsidRPr="00CA4C7E" w:rsidRDefault="005D69EB" w:rsidP="006529DB">
            <w:pPr>
              <w:pStyle w:val="NoSpacing"/>
              <w:jc w:val="center"/>
            </w:pPr>
          </w:p>
        </w:tc>
        <w:tc>
          <w:tcPr>
            <w:tcW w:w="1710" w:type="dxa"/>
          </w:tcPr>
          <w:p w14:paraId="7C40EBE3" w14:textId="36EED50E" w:rsidR="005D69EB" w:rsidRPr="00CA4C7E" w:rsidRDefault="005D69EB" w:rsidP="006529DB">
            <w:pPr>
              <w:pStyle w:val="NoSpacing"/>
              <w:tabs>
                <w:tab w:val="left" w:pos="1440"/>
              </w:tabs>
            </w:pPr>
            <w:r w:rsidRPr="00CA4C7E">
              <w:tab/>
              <w:t>0.27</w:t>
            </w:r>
          </w:p>
        </w:tc>
        <w:tc>
          <w:tcPr>
            <w:tcW w:w="630" w:type="dxa"/>
          </w:tcPr>
          <w:p w14:paraId="61A65BA6" w14:textId="77777777" w:rsidR="005D69EB" w:rsidRPr="00CA4C7E" w:rsidRDefault="005D69EB" w:rsidP="006529DB">
            <w:pPr>
              <w:pStyle w:val="NoSpacing"/>
              <w:jc w:val="center"/>
            </w:pPr>
          </w:p>
        </w:tc>
      </w:tr>
      <w:tr w:rsidR="005D69EB" w:rsidRPr="00CA4C7E" w14:paraId="58EB75E5" w14:textId="77777777" w:rsidTr="006529DB">
        <w:tc>
          <w:tcPr>
            <w:tcW w:w="3380" w:type="dxa"/>
            <w:vAlign w:val="bottom"/>
          </w:tcPr>
          <w:p w14:paraId="5D70E307" w14:textId="3C9EE61E" w:rsidR="005D69EB" w:rsidRPr="00CA4C7E" w:rsidRDefault="005D69EB" w:rsidP="006529DB">
            <w:pPr>
              <w:pStyle w:val="NoSpacing"/>
              <w:jc w:val="right"/>
            </w:pPr>
            <w:r w:rsidRPr="00CA4C7E">
              <w:rPr>
                <w:rFonts w:ascii="Calibri" w:hAnsi="Calibri"/>
                <w:color w:val="000000"/>
              </w:rPr>
              <w:t>p(6000&lt;=</w:t>
            </w:r>
            <w:proofErr w:type="spellStart"/>
            <w:r w:rsidRPr="00CA4C7E">
              <w:rPr>
                <w:rFonts w:ascii="Calibri" w:hAnsi="Calibri"/>
                <w:color w:val="000000"/>
              </w:rPr>
              <w:t>season_incidence</w:t>
            </w:r>
            <w:proofErr w:type="spellEnd"/>
            <w:r w:rsidRPr="00CA4C7E">
              <w:rPr>
                <w:rFonts w:ascii="Calibri" w:hAnsi="Calibri"/>
                <w:color w:val="000000"/>
              </w:rPr>
              <w:t>&lt;7000)</w:t>
            </w:r>
          </w:p>
        </w:tc>
        <w:tc>
          <w:tcPr>
            <w:tcW w:w="598" w:type="dxa"/>
          </w:tcPr>
          <w:p w14:paraId="4EC26CD1" w14:textId="77777777" w:rsidR="005D69EB" w:rsidRPr="00CA4C7E" w:rsidRDefault="005D69EB" w:rsidP="006529DB">
            <w:pPr>
              <w:pStyle w:val="NoSpacing"/>
              <w:jc w:val="center"/>
            </w:pPr>
          </w:p>
        </w:tc>
        <w:tc>
          <w:tcPr>
            <w:tcW w:w="1710" w:type="dxa"/>
          </w:tcPr>
          <w:p w14:paraId="7534CAD5" w14:textId="037050DB" w:rsidR="005D69EB" w:rsidRPr="00CA4C7E" w:rsidRDefault="005D69EB" w:rsidP="006529DB">
            <w:pPr>
              <w:pStyle w:val="NoSpacing"/>
              <w:jc w:val="right"/>
            </w:pPr>
            <w:r w:rsidRPr="00CA4C7E">
              <w:t>0.638</w:t>
            </w:r>
          </w:p>
        </w:tc>
        <w:tc>
          <w:tcPr>
            <w:tcW w:w="630" w:type="dxa"/>
          </w:tcPr>
          <w:p w14:paraId="0556403F" w14:textId="77777777" w:rsidR="005D69EB" w:rsidRPr="00CA4C7E" w:rsidRDefault="005D69EB" w:rsidP="006529DB">
            <w:pPr>
              <w:pStyle w:val="NoSpacing"/>
              <w:jc w:val="center"/>
            </w:pPr>
          </w:p>
        </w:tc>
      </w:tr>
      <w:tr w:rsidR="005D69EB" w:rsidRPr="00CA4C7E" w14:paraId="119728DE" w14:textId="77777777" w:rsidTr="006529DB">
        <w:tc>
          <w:tcPr>
            <w:tcW w:w="3380" w:type="dxa"/>
            <w:vAlign w:val="bottom"/>
          </w:tcPr>
          <w:p w14:paraId="7E286E4B" w14:textId="0723182E" w:rsidR="005D69EB" w:rsidRPr="00CA4C7E" w:rsidRDefault="005D69EB" w:rsidP="006529DB">
            <w:pPr>
              <w:pStyle w:val="NoSpacing"/>
              <w:jc w:val="right"/>
            </w:pPr>
            <w:r w:rsidRPr="00CA4C7E">
              <w:rPr>
                <w:rFonts w:ascii="Calibri" w:hAnsi="Calibri"/>
                <w:color w:val="000000"/>
              </w:rPr>
              <w:t>p(7000&lt;=</w:t>
            </w:r>
            <w:proofErr w:type="spellStart"/>
            <w:r w:rsidRPr="00CA4C7E">
              <w:rPr>
                <w:rFonts w:ascii="Calibri" w:hAnsi="Calibri"/>
                <w:color w:val="000000"/>
              </w:rPr>
              <w:t>season_incidence</w:t>
            </w:r>
            <w:proofErr w:type="spellEnd"/>
            <w:r w:rsidRPr="00CA4C7E">
              <w:rPr>
                <w:rFonts w:ascii="Calibri" w:hAnsi="Calibri"/>
                <w:color w:val="000000"/>
              </w:rPr>
              <w:t>&lt;8000)</w:t>
            </w:r>
          </w:p>
        </w:tc>
        <w:tc>
          <w:tcPr>
            <w:tcW w:w="598" w:type="dxa"/>
          </w:tcPr>
          <w:p w14:paraId="701C2848" w14:textId="77777777" w:rsidR="005D69EB" w:rsidRPr="00CA4C7E" w:rsidRDefault="005D69EB" w:rsidP="006529DB">
            <w:pPr>
              <w:pStyle w:val="NoSpacing"/>
              <w:jc w:val="center"/>
            </w:pPr>
          </w:p>
        </w:tc>
        <w:tc>
          <w:tcPr>
            <w:tcW w:w="1710" w:type="dxa"/>
          </w:tcPr>
          <w:p w14:paraId="5C16B731" w14:textId="06DAA213" w:rsidR="005D69EB" w:rsidRPr="00CA4C7E" w:rsidRDefault="005D69EB" w:rsidP="006529DB">
            <w:pPr>
              <w:pStyle w:val="NoSpacing"/>
              <w:jc w:val="right"/>
            </w:pPr>
            <w:r w:rsidRPr="00CA4C7E">
              <w:t>0.085</w:t>
            </w:r>
          </w:p>
        </w:tc>
        <w:tc>
          <w:tcPr>
            <w:tcW w:w="630" w:type="dxa"/>
          </w:tcPr>
          <w:p w14:paraId="6E7ECD4E" w14:textId="77777777" w:rsidR="005D69EB" w:rsidRPr="00CA4C7E" w:rsidRDefault="005D69EB" w:rsidP="006529DB">
            <w:pPr>
              <w:pStyle w:val="NoSpacing"/>
              <w:jc w:val="center"/>
            </w:pPr>
          </w:p>
        </w:tc>
      </w:tr>
      <w:tr w:rsidR="005D69EB" w:rsidRPr="00CA4C7E" w14:paraId="5DA40978" w14:textId="77777777" w:rsidTr="006529DB">
        <w:tc>
          <w:tcPr>
            <w:tcW w:w="3380" w:type="dxa"/>
            <w:vAlign w:val="bottom"/>
          </w:tcPr>
          <w:p w14:paraId="20C63789" w14:textId="68633EE0" w:rsidR="005D69EB" w:rsidRPr="00CA4C7E" w:rsidRDefault="005D69EB" w:rsidP="006529DB">
            <w:pPr>
              <w:pStyle w:val="NoSpacing"/>
              <w:jc w:val="right"/>
            </w:pPr>
            <w:r w:rsidRPr="00CA4C7E">
              <w:rPr>
                <w:rFonts w:ascii="Calibri" w:hAnsi="Calibri"/>
                <w:color w:val="000000"/>
              </w:rPr>
              <w:t>p(8000&lt;=</w:t>
            </w:r>
            <w:proofErr w:type="spellStart"/>
            <w:r w:rsidRPr="00CA4C7E">
              <w:rPr>
                <w:rFonts w:ascii="Calibri" w:hAnsi="Calibri"/>
                <w:color w:val="000000"/>
              </w:rPr>
              <w:t>season_incidence</w:t>
            </w:r>
            <w:proofErr w:type="spellEnd"/>
            <w:r w:rsidRPr="00CA4C7E">
              <w:rPr>
                <w:rFonts w:ascii="Calibri" w:hAnsi="Calibri"/>
                <w:color w:val="000000"/>
              </w:rPr>
              <w:t>&lt;9000)</w:t>
            </w:r>
          </w:p>
        </w:tc>
        <w:tc>
          <w:tcPr>
            <w:tcW w:w="598" w:type="dxa"/>
          </w:tcPr>
          <w:p w14:paraId="6F4D4681" w14:textId="77777777" w:rsidR="005D69EB" w:rsidRPr="00CA4C7E" w:rsidRDefault="005D69EB" w:rsidP="006529DB">
            <w:pPr>
              <w:pStyle w:val="NoSpacing"/>
              <w:jc w:val="center"/>
            </w:pPr>
          </w:p>
        </w:tc>
        <w:tc>
          <w:tcPr>
            <w:tcW w:w="1710" w:type="dxa"/>
          </w:tcPr>
          <w:p w14:paraId="6F0785F7" w14:textId="78AAE345" w:rsidR="005D69EB" w:rsidRPr="00CA4C7E" w:rsidRDefault="005D69EB" w:rsidP="006529DB">
            <w:pPr>
              <w:pStyle w:val="NoSpacing"/>
              <w:jc w:val="right"/>
            </w:pPr>
            <w:r w:rsidRPr="00CA4C7E">
              <w:t>0.0</w:t>
            </w:r>
          </w:p>
        </w:tc>
        <w:tc>
          <w:tcPr>
            <w:tcW w:w="630" w:type="dxa"/>
          </w:tcPr>
          <w:p w14:paraId="0EAB5336" w14:textId="77777777" w:rsidR="005D69EB" w:rsidRPr="00CA4C7E" w:rsidRDefault="005D69EB" w:rsidP="006529DB">
            <w:pPr>
              <w:pStyle w:val="NoSpacing"/>
              <w:jc w:val="center"/>
            </w:pPr>
          </w:p>
        </w:tc>
      </w:tr>
      <w:tr w:rsidR="005D69EB" w:rsidRPr="00CA4C7E" w14:paraId="6E4D7568" w14:textId="77777777" w:rsidTr="006529DB">
        <w:tc>
          <w:tcPr>
            <w:tcW w:w="3380" w:type="dxa"/>
            <w:vAlign w:val="bottom"/>
          </w:tcPr>
          <w:p w14:paraId="6BA3E1E8" w14:textId="427010FC" w:rsidR="005D69EB" w:rsidRPr="00CA4C7E" w:rsidRDefault="005D69EB" w:rsidP="006529DB">
            <w:pPr>
              <w:pStyle w:val="NoSpacing"/>
              <w:jc w:val="right"/>
            </w:pPr>
            <w:r w:rsidRPr="00CA4C7E">
              <w:rPr>
                <w:rFonts w:ascii="Calibri" w:hAnsi="Calibri"/>
                <w:color w:val="000000"/>
              </w:rPr>
              <w:t>p(9000&lt;=</w:t>
            </w:r>
            <w:proofErr w:type="spellStart"/>
            <w:r w:rsidRPr="00CA4C7E">
              <w:rPr>
                <w:rFonts w:ascii="Calibri" w:hAnsi="Calibri"/>
                <w:color w:val="000000"/>
              </w:rPr>
              <w:t>season_incidence</w:t>
            </w:r>
            <w:proofErr w:type="spellEnd"/>
            <w:r w:rsidRPr="00CA4C7E">
              <w:rPr>
                <w:rFonts w:ascii="Calibri" w:hAnsi="Calibri"/>
                <w:color w:val="000000"/>
              </w:rPr>
              <w:t>&lt;10000)</w:t>
            </w:r>
          </w:p>
        </w:tc>
        <w:tc>
          <w:tcPr>
            <w:tcW w:w="598" w:type="dxa"/>
          </w:tcPr>
          <w:p w14:paraId="091E7B45" w14:textId="77777777" w:rsidR="005D69EB" w:rsidRPr="00CA4C7E" w:rsidRDefault="005D69EB" w:rsidP="006529DB">
            <w:pPr>
              <w:pStyle w:val="NoSpacing"/>
              <w:jc w:val="center"/>
            </w:pPr>
          </w:p>
        </w:tc>
        <w:tc>
          <w:tcPr>
            <w:tcW w:w="1710" w:type="dxa"/>
          </w:tcPr>
          <w:p w14:paraId="790C2C0A" w14:textId="4EDDBADD" w:rsidR="005D69EB" w:rsidRPr="00CA4C7E" w:rsidRDefault="005D69EB" w:rsidP="006529DB">
            <w:pPr>
              <w:pStyle w:val="NoSpacing"/>
              <w:jc w:val="right"/>
            </w:pPr>
            <w:r w:rsidRPr="00CA4C7E">
              <w:t>0.0</w:t>
            </w:r>
          </w:p>
        </w:tc>
        <w:tc>
          <w:tcPr>
            <w:tcW w:w="630" w:type="dxa"/>
          </w:tcPr>
          <w:p w14:paraId="6302679A" w14:textId="77777777" w:rsidR="005D69EB" w:rsidRPr="00CA4C7E" w:rsidRDefault="005D69EB" w:rsidP="006529DB">
            <w:pPr>
              <w:pStyle w:val="NoSpacing"/>
              <w:jc w:val="center"/>
            </w:pPr>
          </w:p>
        </w:tc>
      </w:tr>
      <w:tr w:rsidR="005D69EB" w:rsidRPr="00CA4C7E" w14:paraId="7097ACFB" w14:textId="77777777" w:rsidTr="006529DB">
        <w:tc>
          <w:tcPr>
            <w:tcW w:w="3380" w:type="dxa"/>
            <w:vAlign w:val="bottom"/>
          </w:tcPr>
          <w:p w14:paraId="4E8006BC" w14:textId="604865D1" w:rsidR="005D69EB" w:rsidRPr="00CA4C7E" w:rsidRDefault="005D69EB" w:rsidP="006529DB">
            <w:pPr>
              <w:pStyle w:val="NoSpacing"/>
              <w:jc w:val="right"/>
            </w:pPr>
            <w:r w:rsidRPr="00CA4C7E">
              <w:rPr>
                <w:rFonts w:ascii="Calibri" w:hAnsi="Calibri"/>
                <w:color w:val="000000"/>
              </w:rPr>
              <w:t>p(10000&lt;=</w:t>
            </w:r>
            <w:proofErr w:type="spellStart"/>
            <w:r w:rsidRPr="00CA4C7E">
              <w:rPr>
                <w:rFonts w:ascii="Calibri" w:hAnsi="Calibri"/>
                <w:color w:val="000000"/>
              </w:rPr>
              <w:t>season_incidence</w:t>
            </w:r>
            <w:proofErr w:type="spellEnd"/>
            <w:r w:rsidRPr="00CA4C7E">
              <w:rPr>
                <w:rFonts w:ascii="Calibri" w:hAnsi="Calibri"/>
                <w:color w:val="000000"/>
              </w:rPr>
              <w:t>)</w:t>
            </w:r>
          </w:p>
        </w:tc>
        <w:tc>
          <w:tcPr>
            <w:tcW w:w="598" w:type="dxa"/>
          </w:tcPr>
          <w:p w14:paraId="208F34BD" w14:textId="77777777" w:rsidR="005D69EB" w:rsidRPr="00CA4C7E" w:rsidRDefault="005D69EB" w:rsidP="006529DB">
            <w:pPr>
              <w:pStyle w:val="NoSpacing"/>
              <w:jc w:val="center"/>
            </w:pPr>
          </w:p>
        </w:tc>
        <w:tc>
          <w:tcPr>
            <w:tcW w:w="1710" w:type="dxa"/>
          </w:tcPr>
          <w:p w14:paraId="2C9DF74A" w14:textId="2B56803C" w:rsidR="005D69EB" w:rsidRPr="00CA4C7E" w:rsidRDefault="005D69EB" w:rsidP="006529DB">
            <w:pPr>
              <w:pStyle w:val="NoSpacing"/>
              <w:jc w:val="right"/>
            </w:pPr>
            <w:r w:rsidRPr="00CA4C7E">
              <w:t>0.0</w:t>
            </w:r>
          </w:p>
        </w:tc>
        <w:tc>
          <w:tcPr>
            <w:tcW w:w="630" w:type="dxa"/>
          </w:tcPr>
          <w:p w14:paraId="4324A9EC" w14:textId="77777777" w:rsidR="005D69EB" w:rsidRPr="00CA4C7E" w:rsidRDefault="005D69EB" w:rsidP="006529DB">
            <w:pPr>
              <w:pStyle w:val="NoSpacing"/>
              <w:jc w:val="center"/>
            </w:pPr>
          </w:p>
        </w:tc>
      </w:tr>
    </w:tbl>
    <w:p w14:paraId="51BB32CF" w14:textId="77777777" w:rsidR="005D69EB" w:rsidRPr="00CA4C7E" w:rsidRDefault="005D69EB" w:rsidP="006B05BA">
      <w:pPr>
        <w:pStyle w:val="NoSpacing"/>
      </w:pPr>
    </w:p>
    <w:p w14:paraId="378BF8F4" w14:textId="77777777" w:rsidR="00F14A11" w:rsidRPr="00CA4C7E" w:rsidRDefault="00F14A11" w:rsidP="006B05BA">
      <w:pPr>
        <w:pStyle w:val="NoSpacing"/>
      </w:pPr>
    </w:p>
    <w:p w14:paraId="01813E51" w14:textId="77777777" w:rsidR="00F14A11" w:rsidRPr="00CA4C7E" w:rsidRDefault="00F14A11" w:rsidP="006B05BA">
      <w:pPr>
        <w:pStyle w:val="NoSpacing"/>
        <w:rPr>
          <w:b/>
          <w:sz w:val="28"/>
        </w:rPr>
      </w:pPr>
    </w:p>
    <w:p w14:paraId="38BF21E6" w14:textId="77777777" w:rsidR="00BF3E7C" w:rsidRPr="00CA4C7E" w:rsidRDefault="00BF3E7C">
      <w:pPr>
        <w:rPr>
          <w:b/>
          <w:sz w:val="28"/>
        </w:rPr>
      </w:pPr>
      <w:r w:rsidRPr="00CA4C7E">
        <w:rPr>
          <w:b/>
          <w:sz w:val="28"/>
        </w:rPr>
        <w:br w:type="page"/>
      </w:r>
    </w:p>
    <w:p w14:paraId="28256B45" w14:textId="3D1551CE" w:rsidR="007E3FF3" w:rsidRPr="00CA4C7E" w:rsidRDefault="007E3FF3" w:rsidP="007E3FF3">
      <w:pPr>
        <w:pStyle w:val="NoSpacing"/>
        <w:rPr>
          <w:b/>
          <w:sz w:val="28"/>
        </w:rPr>
      </w:pPr>
      <w:r w:rsidRPr="00CA4C7E">
        <w:rPr>
          <w:b/>
          <w:sz w:val="28"/>
        </w:rPr>
        <w:lastRenderedPageBreak/>
        <w:t>Appendix</w:t>
      </w:r>
      <w:r w:rsidR="00033262" w:rsidRPr="00CA4C7E">
        <w:rPr>
          <w:b/>
          <w:sz w:val="28"/>
        </w:rPr>
        <w:t xml:space="preserve"> 3</w:t>
      </w:r>
      <w:r w:rsidR="00693B75" w:rsidRPr="00CA4C7E">
        <w:rPr>
          <w:b/>
          <w:sz w:val="28"/>
        </w:rPr>
        <w:t xml:space="preserve"> – Evaluation metrics</w:t>
      </w:r>
    </w:p>
    <w:p w14:paraId="34E749C4" w14:textId="77777777" w:rsidR="0084029C" w:rsidRPr="00CA4C7E" w:rsidRDefault="0084029C" w:rsidP="0084029C">
      <w:pPr>
        <w:pStyle w:val="NoSpacing"/>
        <w:rPr>
          <w:b/>
          <w:sz w:val="28"/>
        </w:rPr>
      </w:pPr>
    </w:p>
    <w:p w14:paraId="2805A2B2" w14:textId="179DFDDF" w:rsidR="0084029C" w:rsidRPr="00CA4C7E" w:rsidRDefault="0084029C" w:rsidP="0084029C">
      <w:pPr>
        <w:pStyle w:val="NoSpacing"/>
        <w:rPr>
          <w:b/>
        </w:rPr>
      </w:pPr>
      <w:r w:rsidRPr="00CA4C7E">
        <w:rPr>
          <w:b/>
        </w:rPr>
        <w:t>Relative Mean Absolute Error (relative MAE)</w:t>
      </w:r>
    </w:p>
    <w:p w14:paraId="7B3F4CDE" w14:textId="77777777" w:rsidR="0084029C" w:rsidRPr="00CA4C7E" w:rsidRDefault="0084029C" w:rsidP="0084029C">
      <w:pPr>
        <w:pStyle w:val="NoSpacing"/>
        <w:rPr>
          <w:b/>
        </w:rPr>
      </w:pPr>
    </w:p>
    <w:p w14:paraId="2C0A805A" w14:textId="3C51DD0C" w:rsidR="003B5059" w:rsidRPr="00CA4C7E" w:rsidRDefault="0084029C" w:rsidP="0084029C">
      <w:pPr>
        <w:pStyle w:val="NoSpacing"/>
      </w:pPr>
      <w:r w:rsidRPr="00CA4C7E">
        <w:t xml:space="preserve">Mean absolute error (MAE) is the mean absolute difference between predictions </w:t>
      </w:r>
      <w:r w:rsidRPr="00CA4C7E">
        <w:rPr>
          <w:position w:val="-10"/>
        </w:rPr>
        <w:object w:dxaOrig="220" w:dyaOrig="320" w14:anchorId="6CDF8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6.05pt" o:ole="">
            <v:imagedata r:id="rId7" o:title=""/>
          </v:shape>
          <o:OLEObject Type="Embed" ProgID="Equation.DSMT4" ShapeID="_x0000_i1025" DrawAspect="Content" ObjectID="_1494919953" r:id="rId8"/>
        </w:object>
      </w:r>
      <w:r w:rsidRPr="00CA4C7E">
        <w:t xml:space="preserve"> and observations </w:t>
      </w:r>
      <w:r w:rsidRPr="00CA4C7E">
        <w:rPr>
          <w:position w:val="-10"/>
        </w:rPr>
        <w:object w:dxaOrig="220" w:dyaOrig="260" w14:anchorId="573BE696">
          <v:shape id="_x0000_i1026" type="#_x0000_t75" style="width:11pt;height:11.45pt" o:ole="">
            <v:imagedata r:id="rId9" o:title=""/>
          </v:shape>
          <o:OLEObject Type="Embed" ProgID="Equation.DSMT4" ShapeID="_x0000_i1026" DrawAspect="Content" ObjectID="_1494919954" r:id="rId10"/>
        </w:object>
      </w:r>
      <w:r w:rsidRPr="00CA4C7E">
        <w:t xml:space="preserve"> over </w:t>
      </w:r>
      <w:r w:rsidRPr="00CA4C7E">
        <w:rPr>
          <w:position w:val="-6"/>
        </w:rPr>
        <w:object w:dxaOrig="200" w:dyaOrig="220" w14:anchorId="3009E3D5">
          <v:shape id="_x0000_i1027" type="#_x0000_t75" style="width:9.65pt;height:11pt" o:ole="">
            <v:imagedata r:id="rId11" o:title=""/>
          </v:shape>
          <o:OLEObject Type="Embed" ProgID="Equation.DSMT4" ShapeID="_x0000_i1027" DrawAspect="Content" ObjectID="_1494919955" r:id="rId12"/>
        </w:object>
      </w:r>
      <w:r w:rsidRPr="00CA4C7E">
        <w:t xml:space="preserve"> data points:</w:t>
      </w:r>
    </w:p>
    <w:p w14:paraId="0E052FCF" w14:textId="77777777" w:rsidR="0084029C" w:rsidRPr="00CA4C7E" w:rsidRDefault="0084029C" w:rsidP="0084029C">
      <w:pPr>
        <w:pStyle w:val="NoSpacing"/>
      </w:pPr>
    </w:p>
    <w:p w14:paraId="7807D0FE" w14:textId="77777777" w:rsidR="0084029C" w:rsidRPr="00CA4C7E" w:rsidRDefault="00F1290A" w:rsidP="0084029C">
      <w:pPr>
        <w:pStyle w:val="NoSpacing"/>
      </w:pPr>
      <w:r w:rsidRPr="00CA4C7E">
        <w:rPr>
          <w:position w:val="-28"/>
        </w:rPr>
        <w:object w:dxaOrig="1980" w:dyaOrig="680" w14:anchorId="067625F8">
          <v:shape id="_x0000_i1028" type="#_x0000_t75" style="width:99.95pt;height:33.95pt" o:ole="">
            <v:imagedata r:id="rId13" o:title=""/>
          </v:shape>
          <o:OLEObject Type="Embed" ProgID="Equation.DSMT4" ShapeID="_x0000_i1028" DrawAspect="Content" ObjectID="_1494919956" r:id="rId14"/>
        </w:object>
      </w:r>
      <w:r w:rsidR="0084029C" w:rsidRPr="00CA4C7E">
        <w:t>.</w:t>
      </w:r>
    </w:p>
    <w:p w14:paraId="5EE99456" w14:textId="77777777" w:rsidR="0084029C" w:rsidRPr="00CA4C7E" w:rsidRDefault="0084029C" w:rsidP="0084029C">
      <w:pPr>
        <w:pStyle w:val="NoSpacing"/>
      </w:pPr>
    </w:p>
    <w:p w14:paraId="41EC8F05" w14:textId="77777777" w:rsidR="0084029C" w:rsidRPr="00CA4C7E" w:rsidRDefault="0084029C" w:rsidP="0084029C">
      <w:pPr>
        <w:pStyle w:val="NoSpacing"/>
      </w:pPr>
      <w:r w:rsidRPr="00CA4C7E">
        <w:t>Relative MAE for models A and B is:</w:t>
      </w:r>
    </w:p>
    <w:p w14:paraId="2B377C3F" w14:textId="77777777" w:rsidR="0084029C" w:rsidRPr="00CA4C7E" w:rsidRDefault="0084029C" w:rsidP="0084029C">
      <w:pPr>
        <w:pStyle w:val="NoSpacing"/>
      </w:pPr>
    </w:p>
    <w:p w14:paraId="0AA65707" w14:textId="0F843D87" w:rsidR="0084029C" w:rsidRPr="00CA4C7E" w:rsidRDefault="0084029C" w:rsidP="0084029C">
      <w:pPr>
        <w:pStyle w:val="NoSpacing"/>
      </w:pPr>
      <w:r w:rsidRPr="00CA4C7E">
        <w:rPr>
          <w:position w:val="-32"/>
        </w:rPr>
        <w:object w:dxaOrig="1960" w:dyaOrig="740" w14:anchorId="7D9B486C">
          <v:shape id="_x0000_i1029" type="#_x0000_t75" style="width:98.15pt;height:36.7pt" o:ole="">
            <v:imagedata r:id="rId15" o:title=""/>
          </v:shape>
          <o:OLEObject Type="Embed" ProgID="Equation.3" ShapeID="_x0000_i1029" DrawAspect="Content" ObjectID="_1494919957" r:id="rId16"/>
        </w:object>
      </w:r>
      <w:r w:rsidR="002C2B69">
        <w:t>.</w:t>
      </w:r>
    </w:p>
    <w:p w14:paraId="2A656EBA" w14:textId="77777777" w:rsidR="0084029C" w:rsidRPr="00CA4C7E" w:rsidRDefault="0084029C" w:rsidP="0084029C">
      <w:pPr>
        <w:pStyle w:val="NoSpacing"/>
      </w:pPr>
    </w:p>
    <w:p w14:paraId="10559E7B" w14:textId="77777777" w:rsidR="0084029C" w:rsidRPr="00CA4C7E" w:rsidRDefault="0084029C" w:rsidP="0084029C">
      <w:pPr>
        <w:pStyle w:val="NoSpacing"/>
      </w:pPr>
      <w:r w:rsidRPr="00CA4C7E">
        <w:t>An important feature of this metric is that it can be interpreted directly in terms of accuracy of predictions. For example, a relative MAE(A,B) = 0.8 indicates that, on average, predictions from model A were 20% closer to the observed values than those from model B. Additionally, comparing multiple candidate models to a common baseline model with relative MAE allows for the assessment of the relative accuracy of the candidate models. For example, the relative MAE for model A versus the baseline model can be divided by the relative MAE for model B versus the baseline, resulting in the relative MAE for model A versus model B.</w:t>
      </w:r>
    </w:p>
    <w:p w14:paraId="3FAD7E0B" w14:textId="77777777" w:rsidR="0084029C" w:rsidRPr="00CA4C7E" w:rsidRDefault="0084029C" w:rsidP="0084029C">
      <w:pPr>
        <w:pStyle w:val="NoSpacing"/>
      </w:pPr>
    </w:p>
    <w:p w14:paraId="7DC95006" w14:textId="77777777" w:rsidR="0084029C" w:rsidRPr="00CA4C7E" w:rsidRDefault="0084029C" w:rsidP="0084029C">
      <w:pPr>
        <w:pStyle w:val="NoSpacing"/>
      </w:pPr>
      <w:r w:rsidRPr="00CA4C7E">
        <w:t>References:</w:t>
      </w:r>
    </w:p>
    <w:p w14:paraId="2F0FE2D4" w14:textId="77777777" w:rsidR="0084029C" w:rsidRPr="00CA4C7E" w:rsidRDefault="0084029C" w:rsidP="0084029C">
      <w:pPr>
        <w:pStyle w:val="NoSpacing"/>
      </w:pPr>
    </w:p>
    <w:p w14:paraId="0F7DA12E" w14:textId="77777777" w:rsidR="0084029C" w:rsidRPr="00CA4C7E" w:rsidRDefault="0084029C" w:rsidP="0084029C">
      <w:pPr>
        <w:pStyle w:val="NoSpacing"/>
      </w:pPr>
      <w:r w:rsidRPr="00CA4C7E">
        <w:t>Hyndman RJ and AB Koehler. (2006) Another look at measures of forecast accuracy. International Journal of Forecasting. 22(4):679-688. Available at: http://www.buseco.monash.edu.au/ebs/pubs/wpapers/2005/wp13-05.pdf</w:t>
      </w:r>
    </w:p>
    <w:p w14:paraId="619D2418" w14:textId="77777777" w:rsidR="0084029C" w:rsidRPr="00CA4C7E" w:rsidRDefault="0084029C" w:rsidP="0084029C">
      <w:pPr>
        <w:pStyle w:val="NoSpacing"/>
      </w:pPr>
    </w:p>
    <w:p w14:paraId="647EAA5F" w14:textId="77777777" w:rsidR="0084029C" w:rsidRPr="00CA4C7E" w:rsidRDefault="0084029C" w:rsidP="0084029C">
      <w:pPr>
        <w:pStyle w:val="NoSpacing"/>
      </w:pPr>
      <w:r w:rsidRPr="00CA4C7E">
        <w:t>Reich NG, J Lessler, K Sakrejda, SA Lauer, S Iamsirithaworn, and DAT Cummings. (2015) Case studies in evaluating time series prediction models using the relative mean absolute error. Available at: http://works.bepress.com/nicholas_reich/11</w:t>
      </w:r>
    </w:p>
    <w:p w14:paraId="6A5AEFCD" w14:textId="77777777" w:rsidR="0084029C" w:rsidRPr="00CA4C7E" w:rsidRDefault="0084029C" w:rsidP="0084029C">
      <w:pPr>
        <w:pStyle w:val="NoSpacing"/>
      </w:pPr>
    </w:p>
    <w:p w14:paraId="3DAE7DE3" w14:textId="77777777" w:rsidR="0084029C" w:rsidRPr="00CA4C7E" w:rsidRDefault="0084029C" w:rsidP="0084029C">
      <w:pPr>
        <w:pStyle w:val="NoSpacing"/>
        <w:rPr>
          <w:b/>
        </w:rPr>
      </w:pPr>
      <w:r w:rsidRPr="00CA4C7E">
        <w:rPr>
          <w:b/>
        </w:rPr>
        <w:t>Logarithmic Score</w:t>
      </w:r>
    </w:p>
    <w:p w14:paraId="6A205550" w14:textId="77777777" w:rsidR="0084029C" w:rsidRPr="00CA4C7E" w:rsidRDefault="0084029C" w:rsidP="0084029C">
      <w:pPr>
        <w:pStyle w:val="NoSpacing"/>
        <w:rPr>
          <w:b/>
        </w:rPr>
      </w:pPr>
    </w:p>
    <w:p w14:paraId="7575D4D2" w14:textId="77777777" w:rsidR="0084029C" w:rsidRPr="00CA4C7E" w:rsidRDefault="0084029C" w:rsidP="0084029C">
      <w:pPr>
        <w:pStyle w:val="NoSpacing"/>
      </w:pPr>
      <w:r w:rsidRPr="00CA4C7E">
        <w:t xml:space="preserve">The logarithmic score is a proper scoring rule based on a binned probability distribution of the </w:t>
      </w:r>
      <w:proofErr w:type="gramStart"/>
      <w:r w:rsidRPr="00CA4C7E">
        <w:t>prediction,</w:t>
      </w:r>
      <w:r w:rsidRPr="00CA4C7E">
        <w:rPr>
          <w:position w:val="-10"/>
        </w:rPr>
        <w:object w:dxaOrig="200" w:dyaOrig="260" w14:anchorId="49365351">
          <v:shape id="_x0000_i1030" type="#_x0000_t75" style="width:9.65pt;height:12.85pt" o:ole="">
            <v:imagedata r:id="rId17" o:title=""/>
          </v:shape>
          <o:OLEObject Type="Embed" ProgID="Equation.DSMT4" ShapeID="_x0000_i1030" DrawAspect="Content" ObjectID="_1494919958" r:id="rId18"/>
        </w:object>
      </w:r>
      <w:r w:rsidRPr="00CA4C7E">
        <w:t>.</w:t>
      </w:r>
      <w:proofErr w:type="gramEnd"/>
      <w:r w:rsidRPr="00CA4C7E">
        <w:t xml:space="preserve"> The score is the log of the probability assigned to the observed outcome</w:t>
      </w:r>
      <w:proofErr w:type="gramStart"/>
      <w:r w:rsidRPr="00CA4C7E">
        <w:t xml:space="preserve">, </w:t>
      </w:r>
      <w:proofErr w:type="gramEnd"/>
      <w:r w:rsidRPr="00CA4C7E">
        <w:rPr>
          <w:position w:val="-6"/>
        </w:rPr>
        <w:object w:dxaOrig="139" w:dyaOrig="260" w14:anchorId="44271C79">
          <v:shape id="_x0000_i1031" type="#_x0000_t75" style="width:7.35pt;height:11.45pt" o:ole="">
            <v:imagedata r:id="rId19" o:title=""/>
          </v:shape>
          <o:OLEObject Type="Embed" ProgID="Equation.DSMT4" ShapeID="_x0000_i1031" DrawAspect="Content" ObjectID="_1494919959" r:id="rId20"/>
        </w:object>
      </w:r>
      <w:r w:rsidRPr="00CA4C7E">
        <w:t xml:space="preserve">: </w:t>
      </w:r>
    </w:p>
    <w:p w14:paraId="447278AC" w14:textId="77777777" w:rsidR="0084029C" w:rsidRPr="00CA4C7E" w:rsidRDefault="0084029C" w:rsidP="0084029C">
      <w:pPr>
        <w:pStyle w:val="NoSpacing"/>
      </w:pPr>
    </w:p>
    <w:p w14:paraId="768C260A" w14:textId="77777777" w:rsidR="0084029C" w:rsidRPr="00CA4C7E" w:rsidRDefault="0084029C" w:rsidP="0084029C">
      <w:pPr>
        <w:pStyle w:val="NoSpacing"/>
      </w:pPr>
      <w:r w:rsidRPr="00CA4C7E">
        <w:rPr>
          <w:position w:val="-12"/>
        </w:rPr>
        <w:object w:dxaOrig="1600" w:dyaOrig="360" w14:anchorId="2B7C23D4">
          <v:shape id="_x0000_i1032" type="#_x0000_t75" style="width:79.8pt;height:16.95pt" o:ole="">
            <v:imagedata r:id="rId21" o:title=""/>
          </v:shape>
          <o:OLEObject Type="Embed" ProgID="Equation.DSMT4" ShapeID="_x0000_i1032" DrawAspect="Content" ObjectID="_1494919960" r:id="rId22"/>
        </w:object>
      </w:r>
      <w:r w:rsidRPr="00CA4C7E">
        <w:t>.</w:t>
      </w:r>
    </w:p>
    <w:p w14:paraId="799C3960" w14:textId="77777777" w:rsidR="0084029C" w:rsidRPr="00CA4C7E" w:rsidRDefault="0084029C" w:rsidP="0084029C">
      <w:pPr>
        <w:pStyle w:val="NoSpacing"/>
      </w:pPr>
    </w:p>
    <w:p w14:paraId="79521FDE" w14:textId="77777777" w:rsidR="0084029C" w:rsidRPr="00CA4C7E" w:rsidRDefault="0084029C" w:rsidP="0084029C">
      <w:pPr>
        <w:pStyle w:val="NoSpacing"/>
      </w:pPr>
      <w:r w:rsidRPr="00CA4C7E">
        <w:t>For example, a single prediction for the peak week includes probabilities for each week (1-52) in the season. The probability assigned to a week when the peak is unlikely would be low, near to zero, while the probability assigned to the forecast peak week is the highest. The total of these probabilities across all weeks must equal 1, i.e.:</w:t>
      </w:r>
    </w:p>
    <w:p w14:paraId="5E9D7B90" w14:textId="77777777" w:rsidR="0084029C" w:rsidRPr="00CA4C7E" w:rsidRDefault="0084029C" w:rsidP="0084029C">
      <w:pPr>
        <w:pStyle w:val="NoSpacing"/>
      </w:pPr>
    </w:p>
    <w:p w14:paraId="5A9A1D26" w14:textId="77777777" w:rsidR="0084029C" w:rsidRPr="00CA4C7E" w:rsidRDefault="0084029C" w:rsidP="0084029C">
      <w:pPr>
        <w:pStyle w:val="NoSpacing"/>
      </w:pPr>
      <w:r w:rsidRPr="00CA4C7E">
        <w:rPr>
          <w:position w:val="-28"/>
        </w:rPr>
        <w:object w:dxaOrig="900" w:dyaOrig="680" w14:anchorId="547735A2">
          <v:shape id="_x0000_i1033" type="#_x0000_t75" style="width:45.85pt;height:33.95pt" o:ole="">
            <v:imagedata r:id="rId23" o:title=""/>
          </v:shape>
          <o:OLEObject Type="Embed" ProgID="Equation.DSMT4" ShapeID="_x0000_i1033" DrawAspect="Content" ObjectID="_1494919961" r:id="rId24"/>
        </w:object>
      </w:r>
    </w:p>
    <w:p w14:paraId="655D32D6" w14:textId="77777777" w:rsidR="0084029C" w:rsidRPr="00CA4C7E" w:rsidRDefault="0084029C" w:rsidP="0084029C">
      <w:pPr>
        <w:pStyle w:val="NoSpacing"/>
      </w:pPr>
    </w:p>
    <w:p w14:paraId="43743B7F" w14:textId="77777777" w:rsidR="0084029C" w:rsidRPr="00CA4C7E" w:rsidRDefault="0084029C" w:rsidP="0084029C">
      <w:pPr>
        <w:pStyle w:val="NoSpacing"/>
      </w:pPr>
      <w:proofErr w:type="gramStart"/>
      <w:r w:rsidRPr="00CA4C7E">
        <w:t>If the observed peak week is week 30 and</w:t>
      </w:r>
      <w:r w:rsidRPr="00CA4C7E">
        <w:rPr>
          <w:position w:val="-12"/>
        </w:rPr>
        <w:object w:dxaOrig="1040" w:dyaOrig="360" w14:anchorId="7C517BD6">
          <v:shape id="_x0000_i1034" type="#_x0000_t75" style="width:51.8pt;height:16.95pt" o:ole="">
            <v:imagedata r:id="rId25" o:title=""/>
          </v:shape>
          <o:OLEObject Type="Embed" ProgID="Equation.DSMT4" ShapeID="_x0000_i1034" DrawAspect="Content" ObjectID="_1494919962" r:id="rId26"/>
        </w:object>
      </w:r>
      <w:r w:rsidRPr="00CA4C7E">
        <w:t>, the score for this prediction is</w:t>
      </w:r>
      <w:r w:rsidRPr="00CA4C7E">
        <w:rPr>
          <w:position w:val="-10"/>
        </w:rPr>
        <w:object w:dxaOrig="960" w:dyaOrig="320" w14:anchorId="5D08C7D6">
          <v:shape id="_x0000_i1035" type="#_x0000_t75" style="width:48.15pt;height:16.05pt" o:ole="">
            <v:imagedata r:id="rId27" o:title=""/>
          </v:shape>
          <o:OLEObject Type="Embed" ProgID="Equation.DSMT4" ShapeID="_x0000_i1035" DrawAspect="Content" ObjectID="_1494919963" r:id="rId28"/>
        </w:object>
      </w:r>
      <w:r w:rsidRPr="00CA4C7E">
        <w:t>, or approximately -1.9.</w:t>
      </w:r>
      <w:proofErr w:type="gramEnd"/>
      <w:r w:rsidRPr="00CA4C7E">
        <w:t xml:space="preserve"> </w:t>
      </w:r>
    </w:p>
    <w:p w14:paraId="5D1B455C" w14:textId="77777777" w:rsidR="0084029C" w:rsidRPr="00CA4C7E" w:rsidRDefault="0084029C" w:rsidP="0084029C">
      <w:pPr>
        <w:pStyle w:val="NoSpacing"/>
      </w:pPr>
    </w:p>
    <w:p w14:paraId="34E16B1B" w14:textId="41CA5CE9" w:rsidR="00091443" w:rsidRPr="00CA4C7E" w:rsidRDefault="00091443" w:rsidP="00091443">
      <w:pPr>
        <w:pStyle w:val="NoSpacing"/>
      </w:pPr>
      <w:r w:rsidRPr="00CA4C7E">
        <w:t xml:space="preserve">Note that the logarithmic score is based on a </w:t>
      </w:r>
      <w:r w:rsidRPr="00CA4C7E">
        <w:rPr>
          <w:i/>
        </w:rPr>
        <w:t xml:space="preserve">probabilistic estimate </w:t>
      </w:r>
      <w:r w:rsidRPr="00CA4C7E">
        <w:t xml:space="preserve">– a complete probability distribution over all possible outcomes. This is desirable because it requires the forecaster to consider the entire range of possible outcomes, and to estimate the likelihood if each one of them. Two forecasters may agree on which outcome is the most likely, and </w:t>
      </w:r>
      <w:r w:rsidRPr="00CA4C7E">
        <w:lastRenderedPageBreak/>
        <w:t xml:space="preserve">therefore submit the same point estimate, which would be scored identically by MAE. However, their predictions may differ substantially on </w:t>
      </w:r>
      <w:r w:rsidRPr="00CA4C7E">
        <w:rPr>
          <w:i/>
        </w:rPr>
        <w:t>how likely</w:t>
      </w:r>
      <w:r w:rsidRPr="00CA4C7E">
        <w:rPr>
          <w:b/>
          <w:i/>
        </w:rPr>
        <w:t xml:space="preserve"> </w:t>
      </w:r>
      <w:r w:rsidRPr="00CA4C7E">
        <w:t>this outcome is, and how likely other outcomes are. By considering this probability, the logarithmic score enables scoring of the confidence in the prediction, not just the value of the point prediction.</w:t>
      </w:r>
    </w:p>
    <w:p w14:paraId="46D6BECE" w14:textId="77777777" w:rsidR="00091443" w:rsidRPr="00CA4C7E" w:rsidRDefault="00091443" w:rsidP="00091443">
      <w:pPr>
        <w:pStyle w:val="NoSpacing"/>
      </w:pPr>
    </w:p>
    <w:p w14:paraId="3762B011" w14:textId="2B99F438" w:rsidR="00091443" w:rsidRPr="00CA4C7E" w:rsidRDefault="00091443" w:rsidP="00091443">
      <w:pPr>
        <w:pStyle w:val="NoSpacing"/>
      </w:pPr>
      <w:r w:rsidRPr="00CA4C7E">
        <w:t xml:space="preserve">Another advantage of logarithmic scores is that they can be summed across different time periods, targets, and locations to provide both specific and generalized measures of model accuracy. The bins that will be used for forecasts of the peak week, maximum weekly incidence, and total cases in the season will be specified in the forecast templates (see Appendix </w:t>
      </w:r>
      <w:r w:rsidR="00383909" w:rsidRPr="00CA4C7E">
        <w:t>2</w:t>
      </w:r>
      <w:r w:rsidRPr="00CA4C7E">
        <w:t>).</w:t>
      </w:r>
    </w:p>
    <w:p w14:paraId="22F3961D" w14:textId="77777777" w:rsidR="0084029C" w:rsidRPr="00CA4C7E" w:rsidRDefault="0084029C" w:rsidP="0084029C">
      <w:pPr>
        <w:pStyle w:val="NoSpacing"/>
      </w:pPr>
    </w:p>
    <w:p w14:paraId="75D29133" w14:textId="77777777" w:rsidR="0084029C" w:rsidRPr="00CA4C7E" w:rsidRDefault="0084029C" w:rsidP="0084029C">
      <w:pPr>
        <w:pStyle w:val="NoSpacing"/>
      </w:pPr>
      <w:r w:rsidRPr="00CA4C7E">
        <w:t>References:</w:t>
      </w:r>
    </w:p>
    <w:p w14:paraId="2A195A59" w14:textId="77777777" w:rsidR="0084029C" w:rsidRPr="00CA4C7E" w:rsidRDefault="0084029C" w:rsidP="0084029C">
      <w:pPr>
        <w:pStyle w:val="NoSpacing"/>
      </w:pPr>
    </w:p>
    <w:p w14:paraId="29ABD5E2" w14:textId="77777777" w:rsidR="0084029C" w:rsidRPr="00CA4C7E" w:rsidRDefault="0084029C" w:rsidP="0084029C">
      <w:pPr>
        <w:pStyle w:val="NoSpacing"/>
      </w:pPr>
      <w:r w:rsidRPr="00CA4C7E">
        <w:rPr>
          <w:rFonts w:cs="Arial"/>
          <w:color w:val="222222"/>
          <w:shd w:val="clear" w:color="auto" w:fill="FFFFFF"/>
        </w:rPr>
        <w:t>Gneiting T and AE Raftery. (2007) Strictly proper scoring rules, prediction, and estimation.</w:t>
      </w:r>
      <w:r w:rsidRPr="00CA4C7E">
        <w:rPr>
          <w:rStyle w:val="apple-converted-space"/>
          <w:rFonts w:cs="Arial"/>
          <w:color w:val="222222"/>
          <w:shd w:val="clear" w:color="auto" w:fill="FFFFFF"/>
        </w:rPr>
        <w:t> </w:t>
      </w:r>
      <w:r w:rsidRPr="00CA4C7E">
        <w:rPr>
          <w:rFonts w:cs="Arial"/>
          <w:iCs/>
          <w:color w:val="222222"/>
          <w:shd w:val="clear" w:color="auto" w:fill="FFFFFF"/>
        </w:rPr>
        <w:t xml:space="preserve">Journal of the American Statistical Association. </w:t>
      </w:r>
      <w:r w:rsidRPr="00CA4C7E">
        <w:rPr>
          <w:rFonts w:cs="Arial"/>
          <w:color w:val="222222"/>
          <w:shd w:val="clear" w:color="auto" w:fill="FFFFFF"/>
        </w:rPr>
        <w:t>102(477):359-378. Available at https://www.stat.washington.edu/raftery/Research/PDF/Gneiting2007jasa.pdf.</w:t>
      </w:r>
    </w:p>
    <w:p w14:paraId="403918DE" w14:textId="77777777" w:rsidR="0084029C" w:rsidRPr="00CA4C7E" w:rsidRDefault="0084029C" w:rsidP="0084029C">
      <w:pPr>
        <w:pStyle w:val="NoSpacing"/>
      </w:pPr>
    </w:p>
    <w:p w14:paraId="697BC75A" w14:textId="77777777" w:rsidR="0084029C" w:rsidRPr="003346DB" w:rsidRDefault="0084029C" w:rsidP="0084029C">
      <w:pPr>
        <w:pStyle w:val="NoSpacing"/>
      </w:pPr>
      <w:r w:rsidRPr="00CA4C7E">
        <w:t>Rosenfeld R, J Grefenstette, and D Burke. (2012) A Proposal for Standardized Evaluation of Epidemiological Models. Available at: http://delphi.midas.cs.cmu.edu/files/StandardizedEvaluation_Revised_12-11-09.pdf</w:t>
      </w:r>
    </w:p>
    <w:p w14:paraId="6565D5F9" w14:textId="77777777" w:rsidR="00C95D0C" w:rsidRPr="00EF654F" w:rsidRDefault="00C95D0C" w:rsidP="0084029C">
      <w:pPr>
        <w:pStyle w:val="NoSpacing"/>
        <w:rPr>
          <w:b/>
          <w:sz w:val="28"/>
        </w:rPr>
      </w:pPr>
    </w:p>
    <w:sectPr w:rsidR="00C95D0C" w:rsidRPr="00EF654F" w:rsidSect="00F27328">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6682CE" w15:done="0"/>
  <w15:commentEx w15:paraId="0B396CDF" w15:done="0"/>
  <w15:commentEx w15:paraId="4EF43B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3206"/>
    <w:multiLevelType w:val="hybridMultilevel"/>
    <w:tmpl w:val="902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24328"/>
    <w:multiLevelType w:val="hybridMultilevel"/>
    <w:tmpl w:val="3120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C1A27"/>
    <w:multiLevelType w:val="hybridMultilevel"/>
    <w:tmpl w:val="0776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Dylan">
    <w15:presenceInfo w15:providerId="AD" w15:userId="S-1-5-21-1454471165-117609710-725345543-41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3B"/>
    <w:rsid w:val="00005C09"/>
    <w:rsid w:val="000061AB"/>
    <w:rsid w:val="00013234"/>
    <w:rsid w:val="00033262"/>
    <w:rsid w:val="000405F4"/>
    <w:rsid w:val="00050745"/>
    <w:rsid w:val="00091443"/>
    <w:rsid w:val="0009397A"/>
    <w:rsid w:val="00097F1E"/>
    <w:rsid w:val="000B2BB3"/>
    <w:rsid w:val="000B4CB7"/>
    <w:rsid w:val="000C7941"/>
    <w:rsid w:val="000D57AB"/>
    <w:rsid w:val="000E1903"/>
    <w:rsid w:val="000E2D6A"/>
    <w:rsid w:val="000E3C0C"/>
    <w:rsid w:val="00107B79"/>
    <w:rsid w:val="00110449"/>
    <w:rsid w:val="001110BB"/>
    <w:rsid w:val="00117DF4"/>
    <w:rsid w:val="00121124"/>
    <w:rsid w:val="00126A6F"/>
    <w:rsid w:val="00127933"/>
    <w:rsid w:val="00130A75"/>
    <w:rsid w:val="001427C4"/>
    <w:rsid w:val="001622B6"/>
    <w:rsid w:val="0017163D"/>
    <w:rsid w:val="00186661"/>
    <w:rsid w:val="001A12B5"/>
    <w:rsid w:val="001B0568"/>
    <w:rsid w:val="001B4B03"/>
    <w:rsid w:val="001D07C5"/>
    <w:rsid w:val="001E3BE6"/>
    <w:rsid w:val="001E3DFB"/>
    <w:rsid w:val="001F3207"/>
    <w:rsid w:val="001F78E7"/>
    <w:rsid w:val="00211504"/>
    <w:rsid w:val="00214177"/>
    <w:rsid w:val="0021552A"/>
    <w:rsid w:val="00232062"/>
    <w:rsid w:val="0023726C"/>
    <w:rsid w:val="00237276"/>
    <w:rsid w:val="00240396"/>
    <w:rsid w:val="00245D23"/>
    <w:rsid w:val="00253588"/>
    <w:rsid w:val="002641DA"/>
    <w:rsid w:val="00264548"/>
    <w:rsid w:val="00273C27"/>
    <w:rsid w:val="00273F43"/>
    <w:rsid w:val="002954C2"/>
    <w:rsid w:val="002A43AE"/>
    <w:rsid w:val="002A47D3"/>
    <w:rsid w:val="002A61E3"/>
    <w:rsid w:val="002B4AD4"/>
    <w:rsid w:val="002C2B69"/>
    <w:rsid w:val="002D1320"/>
    <w:rsid w:val="002D262B"/>
    <w:rsid w:val="002D436D"/>
    <w:rsid w:val="003047A0"/>
    <w:rsid w:val="00312176"/>
    <w:rsid w:val="003129D5"/>
    <w:rsid w:val="00313E15"/>
    <w:rsid w:val="00322CB6"/>
    <w:rsid w:val="003346DB"/>
    <w:rsid w:val="003515C1"/>
    <w:rsid w:val="00363B14"/>
    <w:rsid w:val="00373838"/>
    <w:rsid w:val="00381D3C"/>
    <w:rsid w:val="00383909"/>
    <w:rsid w:val="003B5059"/>
    <w:rsid w:val="003B5E2A"/>
    <w:rsid w:val="003C067A"/>
    <w:rsid w:val="003C263B"/>
    <w:rsid w:val="003E6C19"/>
    <w:rsid w:val="003F729B"/>
    <w:rsid w:val="00412F5D"/>
    <w:rsid w:val="00430A9D"/>
    <w:rsid w:val="00432420"/>
    <w:rsid w:val="004456D8"/>
    <w:rsid w:val="00454DF9"/>
    <w:rsid w:val="00462499"/>
    <w:rsid w:val="004644AB"/>
    <w:rsid w:val="0048679C"/>
    <w:rsid w:val="004A4A4E"/>
    <w:rsid w:val="004B038C"/>
    <w:rsid w:val="004B56F2"/>
    <w:rsid w:val="004C1F71"/>
    <w:rsid w:val="004F7CD9"/>
    <w:rsid w:val="0051353E"/>
    <w:rsid w:val="005411BC"/>
    <w:rsid w:val="005565A0"/>
    <w:rsid w:val="00572AD5"/>
    <w:rsid w:val="00573C8F"/>
    <w:rsid w:val="005A7B09"/>
    <w:rsid w:val="005C3D39"/>
    <w:rsid w:val="005D69EB"/>
    <w:rsid w:val="005E23C6"/>
    <w:rsid w:val="00620C78"/>
    <w:rsid w:val="00621F57"/>
    <w:rsid w:val="0063029F"/>
    <w:rsid w:val="006529DB"/>
    <w:rsid w:val="00653643"/>
    <w:rsid w:val="00665342"/>
    <w:rsid w:val="00670980"/>
    <w:rsid w:val="006772DC"/>
    <w:rsid w:val="00677C55"/>
    <w:rsid w:val="00693B75"/>
    <w:rsid w:val="00696577"/>
    <w:rsid w:val="00696803"/>
    <w:rsid w:val="006A4342"/>
    <w:rsid w:val="006B05BA"/>
    <w:rsid w:val="006D4784"/>
    <w:rsid w:val="006F4031"/>
    <w:rsid w:val="007071BA"/>
    <w:rsid w:val="0072052A"/>
    <w:rsid w:val="00722250"/>
    <w:rsid w:val="00745EC4"/>
    <w:rsid w:val="0077609D"/>
    <w:rsid w:val="007817C9"/>
    <w:rsid w:val="0078725E"/>
    <w:rsid w:val="00792A15"/>
    <w:rsid w:val="00795841"/>
    <w:rsid w:val="007B131F"/>
    <w:rsid w:val="007B4A05"/>
    <w:rsid w:val="007C148A"/>
    <w:rsid w:val="007C2040"/>
    <w:rsid w:val="007D643A"/>
    <w:rsid w:val="007E3FF3"/>
    <w:rsid w:val="008028D6"/>
    <w:rsid w:val="00804A94"/>
    <w:rsid w:val="00810597"/>
    <w:rsid w:val="0081771D"/>
    <w:rsid w:val="0084029C"/>
    <w:rsid w:val="008427AE"/>
    <w:rsid w:val="00844820"/>
    <w:rsid w:val="008615DB"/>
    <w:rsid w:val="00866049"/>
    <w:rsid w:val="00877948"/>
    <w:rsid w:val="00893A22"/>
    <w:rsid w:val="008A3F01"/>
    <w:rsid w:val="008C3D7F"/>
    <w:rsid w:val="008D7E22"/>
    <w:rsid w:val="008E30D4"/>
    <w:rsid w:val="008E53B6"/>
    <w:rsid w:val="008F19BE"/>
    <w:rsid w:val="00902A0D"/>
    <w:rsid w:val="0090454F"/>
    <w:rsid w:val="009278A4"/>
    <w:rsid w:val="00936826"/>
    <w:rsid w:val="0095611E"/>
    <w:rsid w:val="0096352E"/>
    <w:rsid w:val="00967C61"/>
    <w:rsid w:val="00974A8B"/>
    <w:rsid w:val="00974F9F"/>
    <w:rsid w:val="00977BBF"/>
    <w:rsid w:val="00984CD4"/>
    <w:rsid w:val="00997A48"/>
    <w:rsid w:val="009A0A4B"/>
    <w:rsid w:val="009B2F3B"/>
    <w:rsid w:val="009B3944"/>
    <w:rsid w:val="009C1FB9"/>
    <w:rsid w:val="009E208D"/>
    <w:rsid w:val="00A0187A"/>
    <w:rsid w:val="00A02B0B"/>
    <w:rsid w:val="00A04F0F"/>
    <w:rsid w:val="00A11714"/>
    <w:rsid w:val="00A13513"/>
    <w:rsid w:val="00A17746"/>
    <w:rsid w:val="00A17A0B"/>
    <w:rsid w:val="00A655DF"/>
    <w:rsid w:val="00A85B8D"/>
    <w:rsid w:val="00A86E4F"/>
    <w:rsid w:val="00AA7326"/>
    <w:rsid w:val="00AD5098"/>
    <w:rsid w:val="00AD583A"/>
    <w:rsid w:val="00AE0452"/>
    <w:rsid w:val="00AE65AB"/>
    <w:rsid w:val="00AE6A58"/>
    <w:rsid w:val="00AF3814"/>
    <w:rsid w:val="00B0284A"/>
    <w:rsid w:val="00B130EE"/>
    <w:rsid w:val="00B1353F"/>
    <w:rsid w:val="00B1514A"/>
    <w:rsid w:val="00B32EB5"/>
    <w:rsid w:val="00B342A4"/>
    <w:rsid w:val="00B51915"/>
    <w:rsid w:val="00B60500"/>
    <w:rsid w:val="00B62F1D"/>
    <w:rsid w:val="00B647E8"/>
    <w:rsid w:val="00B675A2"/>
    <w:rsid w:val="00B8357C"/>
    <w:rsid w:val="00B84F47"/>
    <w:rsid w:val="00B91A65"/>
    <w:rsid w:val="00B93850"/>
    <w:rsid w:val="00B9418C"/>
    <w:rsid w:val="00BA0FD7"/>
    <w:rsid w:val="00BB17E2"/>
    <w:rsid w:val="00BB5333"/>
    <w:rsid w:val="00BC08C3"/>
    <w:rsid w:val="00BD400B"/>
    <w:rsid w:val="00BE6CA2"/>
    <w:rsid w:val="00BF3E7C"/>
    <w:rsid w:val="00BF6DC2"/>
    <w:rsid w:val="00C11053"/>
    <w:rsid w:val="00C1206F"/>
    <w:rsid w:val="00C21025"/>
    <w:rsid w:val="00C3040D"/>
    <w:rsid w:val="00C439D1"/>
    <w:rsid w:val="00C44C0E"/>
    <w:rsid w:val="00C45C91"/>
    <w:rsid w:val="00C65583"/>
    <w:rsid w:val="00C76CC3"/>
    <w:rsid w:val="00C80F0A"/>
    <w:rsid w:val="00C81835"/>
    <w:rsid w:val="00C853B1"/>
    <w:rsid w:val="00C911D7"/>
    <w:rsid w:val="00C95D0C"/>
    <w:rsid w:val="00CA4C7E"/>
    <w:rsid w:val="00CA5C35"/>
    <w:rsid w:val="00CB23E7"/>
    <w:rsid w:val="00CB78E0"/>
    <w:rsid w:val="00CC7895"/>
    <w:rsid w:val="00CD242C"/>
    <w:rsid w:val="00CD40A9"/>
    <w:rsid w:val="00CE2330"/>
    <w:rsid w:val="00CE3D16"/>
    <w:rsid w:val="00D4226E"/>
    <w:rsid w:val="00D5380C"/>
    <w:rsid w:val="00D63532"/>
    <w:rsid w:val="00D749F9"/>
    <w:rsid w:val="00D74C9F"/>
    <w:rsid w:val="00DA4A43"/>
    <w:rsid w:val="00DB3F1E"/>
    <w:rsid w:val="00DD4D59"/>
    <w:rsid w:val="00DF30BA"/>
    <w:rsid w:val="00DF5E51"/>
    <w:rsid w:val="00E00349"/>
    <w:rsid w:val="00E01BD7"/>
    <w:rsid w:val="00E177BA"/>
    <w:rsid w:val="00E2336B"/>
    <w:rsid w:val="00E23594"/>
    <w:rsid w:val="00E241E4"/>
    <w:rsid w:val="00E30415"/>
    <w:rsid w:val="00E33FD6"/>
    <w:rsid w:val="00E34CD2"/>
    <w:rsid w:val="00E469DF"/>
    <w:rsid w:val="00E52365"/>
    <w:rsid w:val="00E52723"/>
    <w:rsid w:val="00E61013"/>
    <w:rsid w:val="00E70CFA"/>
    <w:rsid w:val="00E74906"/>
    <w:rsid w:val="00E75E2C"/>
    <w:rsid w:val="00E808DA"/>
    <w:rsid w:val="00E87ABD"/>
    <w:rsid w:val="00EA6C87"/>
    <w:rsid w:val="00EB1877"/>
    <w:rsid w:val="00EC7DCC"/>
    <w:rsid w:val="00ED3C89"/>
    <w:rsid w:val="00ED5608"/>
    <w:rsid w:val="00EE058A"/>
    <w:rsid w:val="00EE17E3"/>
    <w:rsid w:val="00EE3873"/>
    <w:rsid w:val="00EE5663"/>
    <w:rsid w:val="00EF5CA0"/>
    <w:rsid w:val="00EF6042"/>
    <w:rsid w:val="00EF654F"/>
    <w:rsid w:val="00F11764"/>
    <w:rsid w:val="00F1290A"/>
    <w:rsid w:val="00F14A11"/>
    <w:rsid w:val="00F16489"/>
    <w:rsid w:val="00F20757"/>
    <w:rsid w:val="00F27328"/>
    <w:rsid w:val="00F351EB"/>
    <w:rsid w:val="00F444A7"/>
    <w:rsid w:val="00F502FF"/>
    <w:rsid w:val="00F54A5B"/>
    <w:rsid w:val="00F70DCE"/>
    <w:rsid w:val="00F711DE"/>
    <w:rsid w:val="00F86E03"/>
    <w:rsid w:val="00FA6109"/>
    <w:rsid w:val="00FB229A"/>
    <w:rsid w:val="00FE0A87"/>
    <w:rsid w:val="00FE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71F5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F3B"/>
    <w:pPr>
      <w:spacing w:after="0" w:line="240" w:lineRule="auto"/>
    </w:pPr>
  </w:style>
  <w:style w:type="character" w:styleId="CommentReference">
    <w:name w:val="annotation reference"/>
    <w:basedOn w:val="DefaultParagraphFont"/>
    <w:uiPriority w:val="99"/>
    <w:semiHidden/>
    <w:unhideWhenUsed/>
    <w:rsid w:val="00130A75"/>
    <w:rPr>
      <w:sz w:val="16"/>
      <w:szCs w:val="16"/>
    </w:rPr>
  </w:style>
  <w:style w:type="paragraph" w:styleId="CommentText">
    <w:name w:val="annotation text"/>
    <w:basedOn w:val="Normal"/>
    <w:link w:val="CommentTextChar"/>
    <w:uiPriority w:val="99"/>
    <w:semiHidden/>
    <w:unhideWhenUsed/>
    <w:rsid w:val="00130A75"/>
    <w:pPr>
      <w:spacing w:line="240" w:lineRule="auto"/>
    </w:pPr>
    <w:rPr>
      <w:sz w:val="20"/>
      <w:szCs w:val="20"/>
    </w:rPr>
  </w:style>
  <w:style w:type="character" w:customStyle="1" w:styleId="CommentTextChar">
    <w:name w:val="Comment Text Char"/>
    <w:basedOn w:val="DefaultParagraphFont"/>
    <w:link w:val="CommentText"/>
    <w:uiPriority w:val="99"/>
    <w:semiHidden/>
    <w:rsid w:val="00130A75"/>
    <w:rPr>
      <w:sz w:val="20"/>
      <w:szCs w:val="20"/>
    </w:rPr>
  </w:style>
  <w:style w:type="paragraph" w:styleId="CommentSubject">
    <w:name w:val="annotation subject"/>
    <w:basedOn w:val="CommentText"/>
    <w:next w:val="CommentText"/>
    <w:link w:val="CommentSubjectChar"/>
    <w:uiPriority w:val="99"/>
    <w:semiHidden/>
    <w:unhideWhenUsed/>
    <w:rsid w:val="00130A75"/>
    <w:rPr>
      <w:b/>
      <w:bCs/>
    </w:rPr>
  </w:style>
  <w:style w:type="character" w:customStyle="1" w:styleId="CommentSubjectChar">
    <w:name w:val="Comment Subject Char"/>
    <w:basedOn w:val="CommentTextChar"/>
    <w:link w:val="CommentSubject"/>
    <w:uiPriority w:val="99"/>
    <w:semiHidden/>
    <w:rsid w:val="00130A75"/>
    <w:rPr>
      <w:b/>
      <w:bCs/>
      <w:sz w:val="20"/>
      <w:szCs w:val="20"/>
    </w:rPr>
  </w:style>
  <w:style w:type="paragraph" w:styleId="BalloonText">
    <w:name w:val="Balloon Text"/>
    <w:basedOn w:val="Normal"/>
    <w:link w:val="BalloonTextChar"/>
    <w:uiPriority w:val="99"/>
    <w:semiHidden/>
    <w:unhideWhenUsed/>
    <w:rsid w:val="00130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75"/>
    <w:rPr>
      <w:rFonts w:ascii="Tahoma" w:hAnsi="Tahoma" w:cs="Tahoma"/>
      <w:sz w:val="16"/>
      <w:szCs w:val="16"/>
    </w:rPr>
  </w:style>
  <w:style w:type="character" w:customStyle="1" w:styleId="apple-converted-space">
    <w:name w:val="apple-converted-space"/>
    <w:basedOn w:val="DefaultParagraphFont"/>
    <w:rsid w:val="001E3BE6"/>
  </w:style>
  <w:style w:type="table" w:styleId="TableGrid">
    <w:name w:val="Table Grid"/>
    <w:basedOn w:val="TableNormal"/>
    <w:uiPriority w:val="59"/>
    <w:rsid w:val="00BF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365"/>
    <w:rPr>
      <w:color w:val="0000FF" w:themeColor="hyperlink"/>
      <w:u w:val="single"/>
    </w:rPr>
  </w:style>
  <w:style w:type="paragraph" w:styleId="ListParagraph">
    <w:name w:val="List Paragraph"/>
    <w:basedOn w:val="Normal"/>
    <w:uiPriority w:val="34"/>
    <w:qFormat/>
    <w:rsid w:val="00E241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F3B"/>
    <w:pPr>
      <w:spacing w:after="0" w:line="240" w:lineRule="auto"/>
    </w:pPr>
  </w:style>
  <w:style w:type="character" w:styleId="CommentReference">
    <w:name w:val="annotation reference"/>
    <w:basedOn w:val="DefaultParagraphFont"/>
    <w:uiPriority w:val="99"/>
    <w:semiHidden/>
    <w:unhideWhenUsed/>
    <w:rsid w:val="00130A75"/>
    <w:rPr>
      <w:sz w:val="16"/>
      <w:szCs w:val="16"/>
    </w:rPr>
  </w:style>
  <w:style w:type="paragraph" w:styleId="CommentText">
    <w:name w:val="annotation text"/>
    <w:basedOn w:val="Normal"/>
    <w:link w:val="CommentTextChar"/>
    <w:uiPriority w:val="99"/>
    <w:semiHidden/>
    <w:unhideWhenUsed/>
    <w:rsid w:val="00130A75"/>
    <w:pPr>
      <w:spacing w:line="240" w:lineRule="auto"/>
    </w:pPr>
    <w:rPr>
      <w:sz w:val="20"/>
      <w:szCs w:val="20"/>
    </w:rPr>
  </w:style>
  <w:style w:type="character" w:customStyle="1" w:styleId="CommentTextChar">
    <w:name w:val="Comment Text Char"/>
    <w:basedOn w:val="DefaultParagraphFont"/>
    <w:link w:val="CommentText"/>
    <w:uiPriority w:val="99"/>
    <w:semiHidden/>
    <w:rsid w:val="00130A75"/>
    <w:rPr>
      <w:sz w:val="20"/>
      <w:szCs w:val="20"/>
    </w:rPr>
  </w:style>
  <w:style w:type="paragraph" w:styleId="CommentSubject">
    <w:name w:val="annotation subject"/>
    <w:basedOn w:val="CommentText"/>
    <w:next w:val="CommentText"/>
    <w:link w:val="CommentSubjectChar"/>
    <w:uiPriority w:val="99"/>
    <w:semiHidden/>
    <w:unhideWhenUsed/>
    <w:rsid w:val="00130A75"/>
    <w:rPr>
      <w:b/>
      <w:bCs/>
    </w:rPr>
  </w:style>
  <w:style w:type="character" w:customStyle="1" w:styleId="CommentSubjectChar">
    <w:name w:val="Comment Subject Char"/>
    <w:basedOn w:val="CommentTextChar"/>
    <w:link w:val="CommentSubject"/>
    <w:uiPriority w:val="99"/>
    <w:semiHidden/>
    <w:rsid w:val="00130A75"/>
    <w:rPr>
      <w:b/>
      <w:bCs/>
      <w:sz w:val="20"/>
      <w:szCs w:val="20"/>
    </w:rPr>
  </w:style>
  <w:style w:type="paragraph" w:styleId="BalloonText">
    <w:name w:val="Balloon Text"/>
    <w:basedOn w:val="Normal"/>
    <w:link w:val="BalloonTextChar"/>
    <w:uiPriority w:val="99"/>
    <w:semiHidden/>
    <w:unhideWhenUsed/>
    <w:rsid w:val="00130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75"/>
    <w:rPr>
      <w:rFonts w:ascii="Tahoma" w:hAnsi="Tahoma" w:cs="Tahoma"/>
      <w:sz w:val="16"/>
      <w:szCs w:val="16"/>
    </w:rPr>
  </w:style>
  <w:style w:type="character" w:customStyle="1" w:styleId="apple-converted-space">
    <w:name w:val="apple-converted-space"/>
    <w:basedOn w:val="DefaultParagraphFont"/>
    <w:rsid w:val="001E3BE6"/>
  </w:style>
  <w:style w:type="table" w:styleId="TableGrid">
    <w:name w:val="Table Grid"/>
    <w:basedOn w:val="TableNormal"/>
    <w:uiPriority w:val="59"/>
    <w:rsid w:val="00BF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365"/>
    <w:rPr>
      <w:color w:val="0000FF" w:themeColor="hyperlink"/>
      <w:u w:val="single"/>
    </w:rPr>
  </w:style>
  <w:style w:type="paragraph" w:styleId="ListParagraph">
    <w:name w:val="List Paragraph"/>
    <w:basedOn w:val="Normal"/>
    <w:uiPriority w:val="34"/>
    <w:qFormat/>
    <w:rsid w:val="00E24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146088">
      <w:bodyDiv w:val="1"/>
      <w:marLeft w:val="0"/>
      <w:marRight w:val="0"/>
      <w:marTop w:val="0"/>
      <w:marBottom w:val="0"/>
      <w:divBdr>
        <w:top w:val="none" w:sz="0" w:space="0" w:color="auto"/>
        <w:left w:val="none" w:sz="0" w:space="0" w:color="auto"/>
        <w:bottom w:val="none" w:sz="0" w:space="0" w:color="auto"/>
        <w:right w:val="none" w:sz="0" w:space="0" w:color="auto"/>
      </w:divBdr>
    </w:div>
    <w:div w:id="874463784">
      <w:bodyDiv w:val="1"/>
      <w:marLeft w:val="0"/>
      <w:marRight w:val="0"/>
      <w:marTop w:val="0"/>
      <w:marBottom w:val="0"/>
      <w:divBdr>
        <w:top w:val="none" w:sz="0" w:space="0" w:color="auto"/>
        <w:left w:val="none" w:sz="0" w:space="0" w:color="auto"/>
        <w:bottom w:val="none" w:sz="0" w:space="0" w:color="auto"/>
        <w:right w:val="none" w:sz="0" w:space="0" w:color="auto"/>
      </w:divBdr>
    </w:div>
    <w:div w:id="1622883577">
      <w:bodyDiv w:val="1"/>
      <w:marLeft w:val="0"/>
      <w:marRight w:val="0"/>
      <w:marTop w:val="0"/>
      <w:marBottom w:val="0"/>
      <w:divBdr>
        <w:top w:val="none" w:sz="0" w:space="0" w:color="auto"/>
        <w:left w:val="none" w:sz="0" w:space="0" w:color="auto"/>
        <w:bottom w:val="none" w:sz="0" w:space="0" w:color="auto"/>
        <w:right w:val="none" w:sz="0" w:space="0" w:color="auto"/>
      </w:divBdr>
    </w:div>
    <w:div w:id="17871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BC62-671E-459B-9B8A-49F73974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2595</Words>
  <Characters>14253</Characters>
  <Application>Microsoft Office Word</Application>
  <DocSecurity>0</DocSecurity>
  <Lines>279</Lines>
  <Paragraphs>105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c:creator>
  <cp:lastModifiedBy>MAJ</cp:lastModifiedBy>
  <cp:revision>5</cp:revision>
  <dcterms:created xsi:type="dcterms:W3CDTF">2015-06-04T14:24:00Z</dcterms:created>
  <dcterms:modified xsi:type="dcterms:W3CDTF">2015-06-04T14:44:00Z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