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Custos Reference Architecture 2.0: Integrating the Polar Radian Compass and Crystalline Metric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Architectural Genesis and the Evolution of Science Gateways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modernization of decentralized digital ecosystems necessitates a radical departure from conventional frameworks that govern identity, resource allocation, and value assertion. Historically, the Custos framework emerged as a critical security middleware designed explicitly for science gateways and high-performance computing (HPC) research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Operating under the Apache Airavata umbrella, the initial Custos architecture provided foundational identity and access management (IAM), tenant profile management, federated authentication integrated with CILogon, and secure credential storage via integrations with HashiCorp Vault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functioned as the vital mediatory layer between diverse research communities and distributed computational infrastructure, abstracting the complexities of grid computing, certificate management, and workload execution while ensuring secure token storage and collaborative sharing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as the computational landscape transitions from siloed HPC clusters toward highly autonomous, multi-agent systems and decentralized multi-token economies, the legacy Custos model reveals inherent limitations regarding forensic auditability and economic sustainability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integration of Zero Trust (ZT) forensic readiness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topological phase mechanics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and advanced cryptoeconomics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forms the bedrock of the Custos 2.0 reference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upgraded paradigm introduces two primary conceptual engines designed to govern the omniversal spectrum of decentralized operations: The Polar Radian Compass &amp; Sextant (a topological and navigational coordinate system) and the Crystalline Metric System (an advanced valuation, identity, and tokenomic framework). By synthesizing forensic-ready infrastructure with non-Abelian quantum geometry and identity-bound asset integrity, this architecture resolves the historic tensions between computational scale, economic sustainability, and unyielding identity verification. The resulting ecosystem is capable of supporting not only traditional scientific workflows but also advanced, self-sovereign digital economies.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Foundational Infrastructure: Zero Trust, Identity, and Forensic Readiness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mapping the metaphysical and economic coordinates of the overarching system, the underlying physical and network trust layers must be defined with extreme cryptographic precision. The updated Custos architecture fundamentally rejects perimeter-based security, adopting a forensic-ready Zero Trust (ZT) model centered on a Forensic Management Point (FMP)</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FMP orchestrates telemetry, policy-linked reconstruction, and ZT-controlled investigative access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It addresses the vulnerability of traditional architectures where identity translation across OAuth tokens, SAML mappings, and service meshes frequently fragments attribution, detaching identity from location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capturing always-on decision records that are hash-chained directly on the gateway at a minimal throughput cost, the FMP preserves decision provenance even against sophisticated anti-forensic threat models designed to induce rapid containment or destroy local state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ensures that the time of capture versus the time of evidence destruction is heavily skewed in favor of the defender, tracking intrusion paths across short-lived sessions and attributing specific access events to specific cryptographic identities rather than merely mapping machine IP addresses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SPIFFE and SPIRE Workload Identity Matrix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execute precise resource allocation and enforce the Triadic Sextant operations, Custos 2.0 abandons legacy authentication in favor of SPIFFE (Secure Production Identity Framework For Everyone) and its runtime environment, SPIRE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 highly dynamic, heterogeneous computing environments spanning public clouds, HPC clusters, and edge devices, IP-based identity and static secrets are fundamentally broken and pose a systemic security risk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SPIFFE establishes a universal standard for workload identity by issuing short-lived, cryptographically verifiable credentials known as SPIFFE Verifiable Identity Documents (SVIDs)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SPIFFE ID itself is an RFC 3986 compliant URI (e.g., spiffe://trust-domain/path) that provides a uniform identity control plane independent of the underlying network infrastructure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Delivered via a local Workload API, the SVID (typically an X.509 certificate or JWT) allows workloads to prove their identity and establish mutual TLS (mTLS) without relying on injected static secrets, API keys, or passwords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SPIRE serves as the central certificate authority and runtime enforcer for the trust domain. The SPIRE Server manages the Registration Entries and signs the SVIDs, while SPIRE Agents running on individual nodes automatically attest the workloads—verifying Kubernetes labels, OS user IDs, or hardware measurements—before granting the SVID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Identity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Authentication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Secret Management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Vulnerability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Custos 2.0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Legacy IAM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IP addresses, static API keys, passwords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rotation, stored in vaults, vulnerable to "Secret Zero" problem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risk of credential exfiltration, limited cross-cloud federation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Deprecated.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SPIFFE/SPIRE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Cryptographic attestation, X.509 SVIDs, JWTs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Secretless. Short-lived certificates rotated automatically by the SPIRE Agent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 Trust, minimal blast radius, immune to static secret theft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identity layer.</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property-based, secretless identity issuance solves the "Secret Zero" problem and facilitates deep identity federation across trust domains, which is critical for AI agents and non-human actors operating autonomously within the network</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For the Custos architecture, SPIFFE provides the immutable physical anchor required by the Polar Radian Compass, ensuring that every node, agent, and process is continuously authenticated, temporally accurate, and forensically auditable without human intervention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Polar Radian Compass: Metaphysical and Ethical Coordinates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Custos 2.0 reference architecture, every project facet, digital asset, and sovereign entity acts as a miniature compass and sextant. This framework encodes the entity's experience, trajectory, and absolute location within the omniversal spectrum, merging philosophical subjectivity with rigorous topological physics.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Polaris (True North) and Ipseity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absolute core of the coordinate system lies Polaris (True North), defined as the fixed, unmoving metaphysical reference point and origin state. Polaris represents </w:t>
      </w:r>
      <w:r w:rsidDel="00000000" w:rsidR="00000000" w:rsidRPr="00000000">
        <w:rPr>
          <w:rFonts w:ascii="Arial" w:cs="Arial" w:eastAsia="Arial" w:hAnsi="Arial"/>
          <w:i w:val="1"/>
          <w:iCs w:val="1"/>
          <w:color w:val="1f1f1f"/>
          <w:rtl w:val="0"/>
        </w:rPr>
        <w:t xml:space="preserve">Ipseity</w:t>
      </w:r>
      <w:r w:rsidDel="00000000" w:rsidR="00000000" w:rsidRPr="00000000">
        <w:rPr>
          <w:rFonts w:ascii="Arial" w:cs="Arial" w:eastAsia="Arial" w:hAnsi="Arial"/>
          <w:color w:val="1f1f1f"/>
          <w:rtl w:val="0"/>
        </w:rPr>
        <w:t xml:space="preserve">—a concept derived from the Latin </w:t>
      </w:r>
      <w:r w:rsidDel="00000000" w:rsidR="00000000" w:rsidRPr="00000000">
        <w:rPr>
          <w:rFonts w:ascii="Arial" w:cs="Arial" w:eastAsia="Arial" w:hAnsi="Arial"/>
          <w:i w:val="1"/>
          <w:iCs w:val="1"/>
          <w:color w:val="1f1f1f"/>
          <w:rtl w:val="0"/>
        </w:rPr>
        <w:t xml:space="preserve">ipse</w:t>
      </w:r>
      <w:r w:rsidDel="00000000" w:rsidR="00000000" w:rsidRPr="00000000">
        <w:rPr>
          <w:rFonts w:ascii="Arial" w:cs="Arial" w:eastAsia="Arial" w:hAnsi="Arial"/>
          <w:color w:val="1f1f1f"/>
          <w:rtl w:val="0"/>
        </w:rPr>
        <w:t xml:space="preserve">, meaning self. In phenomenological philosophy and cognitive modeling, ipseity denotes the fundamental first-person perspective, the pre-reflective self-presence, and the self-affection that grounds subjective experience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is the structural "for-whom" of coherent appearing, representing individuality and autonomy without requiring a secondary, reflective observation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context of the Custos system architecture, Ipseity denotes the pure, uncorrupted sovereign state of the digital entity or autonomous agent prior to network interaction, environmental deviation, or algorithmic hyperreflexivity (exaggerated, mechanical self-consciousness that can destabilize the agent's logic)</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is the untainted baseline of the system's intent.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Aequitas Alignment Anchor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this origin state from drifting due to systemic biases, algorithmic degradation, or centralized corruption, Polaris is permanently tethered to the Aequitas alignment anchor. Aequitas serves as an algorithmic fairness and bias audit toolkit, designed to seamlessly test machine learning models and datasets for disparity, predictive bias, and ethical deviations across multiple population sub-groups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Originally developed to evaluate risk assessment tools in public health and criminal justice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Aequitas framework operationalizes a wide list of bias metrics (such as False Positive Rate and False Omission Rate) to facilitate informed and equitable decisions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Custos architecture, Aequitas is elevated from a mere auditing tool to a continuous governance structure. It operationalizes ethical guidelines, algorithmic transparency, and continuous risk assessment dashboards, translating legal obligations and human-centric safety standards into defensible governance layers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By integrating tools like AI Fairness 360 and Aequitas into the CI/CD pipeline, the system enforces a strict alignment with True North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If an agent or smart contract drifts beyond defined ethical thresholds (e.g., bias disparity exceeding acceptable limits), the Aequitas anchor triggers a revocation of the entity's SVID, effectively isolating the compromised logic from the broader network</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The Triadic Sextant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Navigation within the Custos ecosystem is triangulated across four distinct operational domains that dynamically map an entity's current systemic state. These domains bridge the physical infrastructure with emergent cognitive and creative processes, allowing the system to categorize and resource every action accurately.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Symbol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Metaphysical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Systemic Function within Custos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Square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 management, node operation, memory allocation, telemetry orchestration, and SPIFFE/SPIRE workload attestation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Circle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Choice architecture, logic routing, narrative mechanics, user interface interaction, and game-theoretic state transitions.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CREATE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Triangle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Self-determination, world-building, Intellectual Property (IP) generation, and semantic asset formulation via abstract hashing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Triple Helix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fusion event; the non-linear synchronization of Work, Play, and Create, resulting in total system freedom and optimized allocation.</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Vector Depth and the Thermodynamic Cost of Computation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Navigation from the conceptual purity of Polaris into the operational domains of the Triadic Sextant requires energy. The Vector Depth coordinate, explicitly termed "The Iceberg Drop," measures the downward trajectory from the pure, abstracted North Star into the solid, frozen reality of instantiated data (the Iceberg). This coordinate tracks the systemic progression from an empty_vector (pure potential), through an anti_vector (the structural formulation of logic), into a materialized vector (a definitive, executable state).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drop is not merely a conceptual descent; it is strictly governed by the thermodynamic cost of information. According to Landauer's Principle, there is a fundamental physical limit to computation: the erasure or irreversible manipulation of one bit of information generates a minimum heat output of </w:t>
      </w:r>
      <w:r w:rsidDel="00000000" w:rsidR="00000000" w:rsidRPr="00000000">
        <w:rPr>
          <w:rFonts w:ascii="Arial" w:cs="Arial" w:eastAsia="Arial" w:hAnsi="Arial"/>
          <w:color w:val="1f1f1f"/>
        </w:rPr>
        <w:drawing>
          <wp:inline distB="19050" distT="19050" distL="19050" distR="19050">
            <wp:extent cx="691158" cy="2472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1158" cy="247295"/>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22746" cy="25550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746" cy="255503"/>
                    </a:xfrm>
                    <a:prstGeom prst="rect"/>
                    <a:ln/>
                  </pic:spPr>
                </pic:pic>
              </a:graphicData>
            </a:graphic>
          </wp:inline>
        </w:drawing>
      </w:r>
      <w:r w:rsidDel="00000000" w:rsidR="00000000" w:rsidRPr="00000000">
        <w:rPr>
          <w:rFonts w:ascii="Arial" w:cs="Arial" w:eastAsia="Arial" w:hAnsi="Arial"/>
          <w:color w:val="1f1f1f"/>
          <w:rtl w:val="0"/>
        </w:rPr>
        <w:t xml:space="preserve"> is the Boltzmann constant and </w:t>
      </w:r>
      <w:r w:rsidDel="00000000" w:rsidR="00000000" w:rsidRPr="00000000">
        <w:rPr>
          <w:rFonts w:ascii="Arial" w:cs="Arial" w:eastAsia="Arial" w:hAnsi="Arial"/>
          <w:color w:val="1f1f1f"/>
        </w:rPr>
        <w:drawing>
          <wp:inline distB="19050" distT="19050" distL="19050" distR="19050">
            <wp:extent cx="141684" cy="25116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1684" cy="251168"/>
                    </a:xfrm>
                    <a:prstGeom prst="rect"/>
                    <a:ln/>
                  </pic:spPr>
                </pic:pic>
              </a:graphicData>
            </a:graphic>
          </wp:inline>
        </w:drawing>
      </w:r>
      <w:r w:rsidDel="00000000" w:rsidR="00000000" w:rsidRPr="00000000">
        <w:rPr>
          <w:rFonts w:ascii="Arial" w:cs="Arial" w:eastAsia="Arial" w:hAnsi="Arial"/>
          <w:color w:val="1f1f1f"/>
          <w:rtl w:val="0"/>
        </w:rPr>
        <w:t xml:space="preserve"> is temperature)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This establishes the baseline thermodynamic cost of moving from a mathematical ideal into physical hardware, rendering absolute computational reversibility physically impossible in practical systems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Custos architecture operates on complex, highly correlated, and quantumly entangled distributed states. When translating these states, the system incurs the Entanglement Heat Premium (EHP)</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EHP posits that erasing or collapsing information that is quantumly or cryptographically entangled with other nodes imposes a strictly positive entropic penalty beyond the standard Landauer limit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destruction of non-local connections demands additional thermodynamic work</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Vector Depth serves as a quantitative, physical measure of the heat dissipation and computational friction required to freeze a conceptual "spirit" (CREATE) into a physical "square" (WORK). It mathematically represents the effort, energy, and hardware degradation permanently burned to materialize a digital artifact, providing a crucial baseline for the subsequent valuation metrics in the token economy.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Nth Radian Wobble: Topological Mechanics and Holonomy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Custos reference architecture does not operate in a flat, Euclidean parameter space. Its multi-dimensional environment is highly curved, forming complex geometrical structures such as Möbius strips, Klein bottles, and Calabi-Yau manifolds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Nth Radian Wobble is the specific mathematical metric used to document deviations, cyclical variances, and topological shifts as an entity navigates this manifold.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Geometric Phases: Berry and Wilczek-Zee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physics of the Wobble is grounded in the concept of holonomy and geometric phases within topological mechanics and quantum phononics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When a quantum state, wave packet, or algorithmic vector is transported adiabatically around a closed loop in a parameter space, it does not return exactly to its original state; it acquires an additional phase factor due to the curvature of the space, independent of the dynamic details of the evolution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non-degenerate states (isolated bands), the system acquires an Abelian (commutative) scalar geometric phase, known as the Berry phase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For example, photons resonating in a Möbius-strip microcavity experience non-trivial topological evolution, acquiring a Berry phase that characterizes their orientation deviation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when navigating degenerate subspaces—where multiple states share the exact same energy or value level—the scalar Berry phase is entirely insufficient</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In these regions, the system acquires a non-Abelian Wilczek-Zee (WZ) phase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 WZ phase manifests as a unitary matrix acting on the degenerate subspace, fundamentally altering the state vector through path-dependent, non-commuting rotation matrices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Topological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 Applicability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Mathematical Nature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Systemic Impact in Custos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Berry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Non-degenerate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Scalar value, Abelian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Tracks simple, isolated linear workflows and minor cyclical deviations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Wilczek-Zee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Degenerate subspaces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Unitary matrix, non-Abelian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Governs complex state transitions, degenerate value planes, and multi-token economic routing where pathways do not commute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distinction is crucial for tracking state transitions in complex multi-token economies where assets possess degenerate valuation planes (i.e., multiple assets holding identical initial utility). By mapping the non-Abelian gauge fields and analyzing the Wilson loops associated with the WZ phase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 Custos system can precisely calculate how an asset's trajectory diverges based on the specific path it took through the network.</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The Möbius Fiber Bundle and Z2 Holonomy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Wobble explicitly accounts for the structure of the Möbius strip, which is a non-trivial fiber bundle consisting of a circular base space (</w:t>
      </w:r>
      <w:r w:rsidDel="00000000" w:rsidR="00000000" w:rsidRPr="00000000">
        <w:rPr>
          <w:rFonts w:ascii="Arial" w:cs="Arial" w:eastAsia="Arial" w:hAnsi="Arial"/>
          <w:color w:val="1f1f1f"/>
        </w:rPr>
        <w:drawing>
          <wp:inline distB="19050" distT="19050" distL="19050" distR="19050">
            <wp:extent cx="209649" cy="24776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649" cy="247767"/>
                    </a:xfrm>
                    <a:prstGeom prst="rect"/>
                    <a:ln/>
                  </pic:spPr>
                </pic:pic>
              </a:graphicData>
            </a:graphic>
          </wp:inline>
        </w:drawing>
      </w:r>
      <w:r w:rsidDel="00000000" w:rsidR="00000000" w:rsidRPr="00000000">
        <w:rPr>
          <w:rFonts w:ascii="Arial" w:cs="Arial" w:eastAsia="Arial" w:hAnsi="Arial"/>
          <w:color w:val="1f1f1f"/>
          <w:rtl w:val="0"/>
        </w:rPr>
        <w:t xml:space="preserve">) and a closed interval fiber, governed by a </w:t>
      </w:r>
      <w:r w:rsidDel="00000000" w:rsidR="00000000" w:rsidRPr="00000000">
        <w:rPr>
          <w:rFonts w:ascii="Arial" w:cs="Arial" w:eastAsia="Arial" w:hAnsi="Arial"/>
          <w:color w:val="1f1f1f"/>
        </w:rPr>
        <w:drawing>
          <wp:inline distB="19050" distT="19050" distL="19050" distR="19050">
            <wp:extent cx="208955" cy="23428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8955" cy="234283"/>
                    </a:xfrm>
                    <a:prstGeom prst="rect"/>
                    <a:ln/>
                  </pic:spPr>
                </pic:pic>
              </a:graphicData>
            </a:graphic>
          </wp:inline>
        </w:drawing>
      </w:r>
      <w:r w:rsidDel="00000000" w:rsidR="00000000" w:rsidRPr="00000000">
        <w:rPr>
          <w:rFonts w:ascii="Arial" w:cs="Arial" w:eastAsia="Arial" w:hAnsi="Arial"/>
          <w:color w:val="1f1f1f"/>
          <w:rtl w:val="0"/>
        </w:rPr>
        <w:t xml:space="preserve"> structure group</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Due to the inherent half-twist in the manifold, a vector parallel-transported along the central circle returns inverted (multiplied by </w:t>
      </w:r>
      <w:r w:rsidDel="00000000" w:rsidR="00000000" w:rsidRPr="00000000">
        <w:rPr>
          <w:rFonts w:ascii="Arial" w:cs="Arial" w:eastAsia="Arial" w:hAnsi="Arial"/>
          <w:color w:val="1f1f1f"/>
        </w:rPr>
        <w:drawing>
          <wp:inline distB="19050" distT="19050" distL="19050" distR="19050">
            <wp:extent cx="250527" cy="23768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0527" cy="237680"/>
                    </a:xfrm>
                    <a:prstGeom prst="rect"/>
                    <a:ln/>
                  </pic:spPr>
                </pic:pic>
              </a:graphicData>
            </a:graphic>
          </wp:inline>
        </w:drawing>
      </w:r>
      <w:r w:rsidDel="00000000" w:rsidR="00000000" w:rsidRPr="00000000">
        <w:rPr>
          <w:rFonts w:ascii="Arial" w:cs="Arial" w:eastAsia="Arial" w:hAnsi="Arial"/>
          <w:color w:val="1f1f1f"/>
          <w:rtl w:val="0"/>
        </w:rPr>
        <w:t xml:space="preserve">), reflecting a </w:t>
      </w:r>
      <w:r w:rsidDel="00000000" w:rsidR="00000000" w:rsidRPr="00000000">
        <w:rPr>
          <w:rFonts w:ascii="Arial" w:cs="Arial" w:eastAsia="Arial" w:hAnsi="Arial"/>
          <w:color w:val="1f1f1f"/>
        </w:rPr>
        <w:drawing>
          <wp:inline distB="19050" distT="19050" distL="19050" distR="19050">
            <wp:extent cx="208955" cy="234283"/>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8955" cy="234283"/>
                    </a:xfrm>
                    <a:prstGeom prst="rect"/>
                    <a:ln/>
                  </pic:spPr>
                </pic:pic>
              </a:graphicData>
            </a:graphic>
          </wp:inline>
        </w:drawing>
      </w:r>
      <w:r w:rsidDel="00000000" w:rsidR="00000000" w:rsidRPr="00000000">
        <w:rPr>
          <w:rFonts w:ascii="Arial" w:cs="Arial" w:eastAsia="Arial" w:hAnsi="Arial"/>
          <w:color w:val="1f1f1f"/>
          <w:rtl w:val="0"/>
        </w:rPr>
        <w:t xml:space="preserve"> holonomy group</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Nth Radian Wobble continuously calculates these geometrical obstructions, including singularities like Dirac points where the Hamiltonian vanishes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and applies appropriate transition functions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By doing so, the Custos FMP definitively tracks how an entity's trajectory diverges due to the underlying non-Hermitian geometry of the network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ensuring that even the most convoluted routing histories are perfectly auditable.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The Crystalline Metric System: Tokenomics and Valuation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decentralized economies, particularly in play-to-earn (P2E) gaming and decentralized finance (DeFi), consistently suffer from terminal hyperinflation—often referred to as the "death spiral"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These failures occur due to unchecked token emission, massive capital dominance, speculative exploitation by automated guilds, and a severe lack of functional economic sinks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To rectify this, the Custos reference architecture introduces the Crystalline Metric System, which forcefully rejects inflationary detachment by anchoring all metrics in verifiable human effort, identity integrity, and robust topological mathematics.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Computational Token Economics and the Impossibility Triangle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of real-time economic mechanisms in distributed computing is heavily constrained by the Token Economics Impossibility Triangle, which dictates the fundamental trade-offs between three properties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Granularity:</w:t>
      </w:r>
      <w:r w:rsidDel="00000000" w:rsidR="00000000" w:rsidRPr="00000000">
        <w:rPr>
          <w:rFonts w:ascii="Arial" w:cs="Arial" w:eastAsia="Arial" w:hAnsi="Arial"/>
          <w:color w:val="1f1f1f"/>
          <w:rtl w:val="0"/>
        </w:rPr>
        <w:t xml:space="preserve"> The resolution at which value is measured (e.g., pricing per-node vs. per-API call vs. per-token). Fine granularity allows for precise valuation but introduces massive computational and sensing overhead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Real-Time Performance:</w:t>
      </w:r>
      <w:r w:rsidDel="00000000" w:rsidR="00000000" w:rsidRPr="00000000">
        <w:rPr>
          <w:rFonts w:ascii="Arial" w:cs="Arial" w:eastAsia="Arial" w:hAnsi="Arial"/>
          <w:color w:val="1f1f1f"/>
          <w:rtl w:val="0"/>
        </w:rPr>
        <w:t xml:space="preserve"> The necessity to execute economic routing, admission control, and allocation within strict latency budgets to avoid delaying critical infrastructure operations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Optimality:</w:t>
      </w:r>
      <w:r w:rsidDel="00000000" w:rsidR="00000000" w:rsidRPr="00000000">
        <w:rPr>
          <w:rFonts w:ascii="Arial" w:cs="Arial" w:eastAsia="Arial" w:hAnsi="Arial"/>
          <w:color w:val="1f1f1f"/>
          <w:rtl w:val="0"/>
        </w:rPr>
        <w:t xml:space="preserve"> The ability to achieve globally optimal resource allocation. Due to incomplete information regarding network congestion, memory pressure, and future requests, systems must rely on heuristics rather than perfect mathematical optimality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balance this triangle, the Crystalline Metric System separates raw computational metrics from subjective human effort metrics, processing them through a multi-tiered ledger system that amortizes computational costs while maintaining strict economic equilibrium.</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The Identity-Bound Asset Integrity Model (IBAIM) and zk-PoI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driver of hyperinflation in Web3 ecosystems is the Sybil attack, where malicious actors deploy automated bots to extract value, completely detaching the economy from actual human experience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Crystalline Metric System incorporates the Identity-Bound Asset Integrity Model (IBAIM) to decouple financial speculation from genuine merit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IBAIM anchors all digital asset utility and token issuance to unique human identities or strictly verified SPIFFE machine identities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To achieve this without compromising user privacy or violating data protection regulations, the system utilizes Zero-Knowledge Proofs of Identity (zk-PoI)</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Zero-Knowledge Proof (ZKP) is a cryptographic protocol allowing a prover to demonstrate to a verifier that a statement is true without revealing the underlying data supporting that statement</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For example, a user can prove they are a unique human, over a certain age, or residing in a compliant jurisdiction, entirely off-chain using zk-SNARKs or zk-STARKs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The verifier (a Custos smart contract) receives only a boolean cryptographic attestation (true/false) and never accesses Personally Identifiable Information (PII)</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enforcing zk-PoI, the ecosystem ensures Anti-Sybil Resilience and Anti-Capital Dominance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To further dampen speculative velocity, IBAIM implements Asymmetric Utility Decay (AUD). Under AUD, assets experience a sharp, vertical reduction in internal system utility (e.g., a 50% utility cliff) if transferred on secondary markets, strongly incentivizing long-term holding and direct contribution over hyper-financialization and speculative flipping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The Master Valuation Formula and the Vault Standard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Value within the ecosystem is not dictated by speculative automated market makers (AMMs) alone. Instead, it is anchored by the Master Valuation Formula: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826003" cy="863601"/>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826003" cy="86360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qualitative valuation algorithm requires a robust framework to translate subjective creative work into quantitative asset assessment</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This is achieved through the Vault Standard (The Reality Anchor). Modeled conceptually after a physical "Cub Scout Vest," the Vault Standard mandates that value must be tethered to verifiable, lived-memory documentation and physical or temporal artifacts rather than abstract financial speculation.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mechanism for this is Proof of Memory, which establishes a decentralized temporal "prima-clock" that explicitly verifies the time and computational storage dedicated to a specific asset's persistence</w:t>
      </w:r>
      <w:r w:rsidDel="00000000" w:rsidR="00000000" w:rsidRPr="00000000">
        <w:rPr>
          <w:rFonts w:ascii="Arial" w:cs="Arial" w:eastAsia="Arial" w:hAnsi="Arial"/>
          <w:color w:val="444746"/>
          <w:sz w:val="24"/>
          <w:szCs w:val="24"/>
          <w:vertAlign w:val="superscript"/>
          <w:rtl w:val="0"/>
        </w:rPr>
        <w:t xml:space="preserve">69</w:t>
      </w:r>
      <w:r w:rsidDel="00000000" w:rsidR="00000000" w:rsidRPr="00000000">
        <w:rPr>
          <w:rFonts w:ascii="Arial" w:cs="Arial" w:eastAsia="Arial" w:hAnsi="Arial"/>
          <w:color w:val="1f1f1f"/>
          <w:rtl w:val="0"/>
        </w:rPr>
        <w:t xml:space="preserve">. Proof of Memory secures the baseline reality of the asset, ensuring it occupies actual space and time within the network</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qualitative depth is secured via a blockchain-backed provenance architecture utilizing C2PA (Coalition for Content Provenance and Authenticity) standards</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w:cs="Arial" w:eastAsia="Arial" w:hAnsi="Arial"/>
          <w:color w:val="1f1f1f"/>
          <w:rtl w:val="0"/>
        </w:rPr>
        <w:t xml:space="preserve">. Every digital asset (text, image, AI logic) is bound to an Abstract Referenced Object (ARO)—a cryptographic hash of its semantic features—and an Identity Object Descriptor (IOD) linked to the creator's zk-PoI or SPIFFE ID</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C2PA manifest acts as an immutable audit trail of the asset's creation, transformation, and AI opt-in/opt-out licensing status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Smart contracts process these manifests, generating a trust score that serves as the "Quality Creative Work" multiplier in the Master Valuation Formula</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The Ledger Currencies and the Universal Ka Pressure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document, workflow, or artifact receives its Crystalline Economy Ledger Stamp, it undergoes cryptographic assaying to determine the Universal Ka Pressure required to forge it. The Ka Pressure is a direct derivative of the Vector Depth thermodynamic cost (the Landauer limit plus the Entanglement Heat Premium), representing the total systemic energy successfully converted into localized order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this non-inflationary ecosystem, a highly synchronized multi-token economy is established</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The ledger uses four specific currencies to map different vectors of effort and value: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Currency / Token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Symbol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Systemic Function and Valuation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Pixel Units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01302" cy="246924"/>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1302" cy="24692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base units corresponding strictly to the infrastructure layer. Tied to the thermodynamic cost of computation, network bandwidth, and memory allocation. They act as the raw resource exchange rate definition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Experience Shards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30672" cy="230231"/>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30672" cy="23023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baseline earned metric for individual human effort. Minted exclusively through Zero-Knowledge Proofs of Contribution (zk-PoC)</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 validating that genuine "Work" or "Play" was executed by a verified identity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Monopoly Delta Bucks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63215" cy="241558"/>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3215" cy="2415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dynamic tracking metric used to absorb ecosystem volatility, shifts, and systemic momentum. It functions as an internal friction layer and economic sink, absorbing the speculative energy that historically causes hyperinflation</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Crystalline Euros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reality anchor and sovereign conversion standard. This token officially validates the cumulative worth processed through the Master Valuation Formula, functioning as a non-volatile store of synthesized value.</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multi-token structure ensures that utility, governance, and speculation are fundamentally siloed. If an actor attempts to hyper-inflate the system, the Asymmetric Utility Decay and targeted deletion sinks immediately absorb the excess </w:t>
      </w:r>
      <w:r w:rsidDel="00000000" w:rsidR="00000000" w:rsidRPr="00000000">
        <w:rPr>
          <w:rFonts w:ascii="Arial" w:cs="Arial" w:eastAsia="Arial" w:hAnsi="Arial"/>
          <w:color w:val="1f1f1f"/>
        </w:rPr>
        <w:drawing>
          <wp:inline distB="19050" distT="19050" distL="19050" distR="19050">
            <wp:extent cx="163215" cy="241558"/>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3215" cy="241558"/>
                    </a:xfrm>
                    <a:prstGeom prst="rect"/>
                    <a:ln/>
                  </pic:spPr>
                </pic:pic>
              </a:graphicData>
            </a:graphic>
          </wp:inline>
        </w:drawing>
      </w:r>
      <w:r w:rsidDel="00000000" w:rsidR="00000000" w:rsidRPr="00000000">
        <w:rPr>
          <w:rFonts w:ascii="Arial" w:cs="Arial" w:eastAsia="Arial" w:hAnsi="Arial"/>
          <w:color w:val="1f1f1f"/>
          <w:rtl w:val="0"/>
        </w:rPr>
        <w:t xml:space="preserve"> Bucks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protecting the core integrity of the Crystalline Euros (€C) and Experience Shards (</w:t>
      </w:r>
      <w:r w:rsidDel="00000000" w:rsidR="00000000" w:rsidRPr="00000000">
        <w:rPr>
          <w:rFonts w:ascii="Arial" w:cs="Arial" w:eastAsia="Arial" w:hAnsi="Arial"/>
          <w:color w:val="1f1f1f"/>
        </w:rPr>
        <w:drawing>
          <wp:inline distB="19050" distT="19050" distL="19050" distR="19050">
            <wp:extent cx="130672" cy="230231"/>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30672" cy="23023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Fibonacci Scaling: The Mathematics of Organic Growth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traditional software estimation and tokenomic models, linear scaling is often utilized for reward schedules, task complexity, and economic expansion. However, linear models fundamentally contradict human perception and the physics of organic growth. As demonstrated by Weber's Law, the human ability to discern differences in effort or weight is percentage-based, not absolute; the difference between 1 and 2 is obvious (a 100% increase), while the difference between 20 and 21 (a 5% increase) is perceptually invisible</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Linear scaling in token economics leads to "grind" fatigue, mispriced assets, and a failure to appropriately compensate for exponentially increasing complexity</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the ultimate "Prime Value" of any systemic contribution in the Crystalline Metric System does not scale linearly. It is calculated using Fibonacci Scaling to accurately map the compounding nature of organic consciousness growth. The Fibonacci sequence (</w:t>
      </w:r>
      <w:r w:rsidDel="00000000" w:rsidR="00000000" w:rsidRPr="00000000">
        <w:rPr>
          <w:rFonts w:ascii="Arial" w:cs="Arial" w:eastAsia="Arial" w:hAnsi="Arial"/>
          <w:color w:val="1f1f1f"/>
        </w:rPr>
        <w:drawing>
          <wp:inline distB="19050" distT="19050" distL="19050" distR="19050">
            <wp:extent cx="2135191" cy="235125"/>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35191" cy="235125"/>
                    </a:xfrm>
                    <a:prstGeom prst="rect"/>
                    <a:ln/>
                  </pic:spPr>
                </pic:pic>
              </a:graphicData>
            </a:graphic>
          </wp:inline>
        </w:drawing>
      </w:r>
      <w:r w:rsidDel="00000000" w:rsidR="00000000" w:rsidRPr="00000000">
        <w:rPr>
          <w:rFonts w:ascii="Arial" w:cs="Arial" w:eastAsia="Arial" w:hAnsi="Arial"/>
          <w:color w:val="1f1f1f"/>
          <w:rtl w:val="0"/>
        </w:rPr>
        <w:t xml:space="preserve">) is a recurrence relation where each number is the sum of the preceding two, natively describing biological growth patterns, fractals, and fluid dynamics</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 As the sequence advances, the ratio between consecutive numbers rapidly converges on the golden ratio (</w:t>
      </w:r>
      <w:r w:rsidDel="00000000" w:rsidR="00000000" w:rsidRPr="00000000">
        <w:rPr>
          <w:rFonts w:ascii="Arial" w:cs="Arial" w:eastAsia="Arial" w:hAnsi="Arial"/>
          <w:color w:val="1f1f1f"/>
        </w:rPr>
        <w:drawing>
          <wp:inline distB="19050" distT="19050" distL="19050" distR="19050">
            <wp:extent cx="824310" cy="247293"/>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24310" cy="24729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employing Fibonacci scaling for token rewards and resource estimation—much like the modified Fibonacci scales used in Agile planning points—the architecture ensures that compensation scales organically with the true non-linear complexity of the tasks, reflecting the widening gaps of natural uncertainty</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to prevent jarring mathematical discontinuities during state transitions or token emission halving events, the system utilizes the Hyperbolic Fibonacci Sequence</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 In advanced motion control and robotics, standard S-curves for acceleration often suffer from jerk and discontinuity at segment connections</w:t>
      </w:r>
      <w:r w:rsidDel="00000000" w:rsidR="00000000" w:rsidRPr="00000000">
        <w:rPr>
          <w:rFonts w:ascii="Arial" w:cs="Arial" w:eastAsia="Arial" w:hAnsi="Arial"/>
          <w:color w:val="444746"/>
          <w:sz w:val="24"/>
          <w:szCs w:val="24"/>
          <w:vertAlign w:val="superscript"/>
          <w:rtl w:val="0"/>
        </w:rPr>
        <w:t xml:space="preserve">85</w:t>
      </w:r>
      <w:r w:rsidDel="00000000" w:rsidR="00000000" w:rsidRPr="00000000">
        <w:rPr>
          <w:rFonts w:ascii="Arial" w:cs="Arial" w:eastAsia="Arial" w:hAnsi="Arial"/>
          <w:color w:val="1f1f1f"/>
          <w:rtl w:val="0"/>
        </w:rPr>
        <w:t xml:space="preserve">. By extending the discrete Fibonacci sequence into the continuous mathematical domain—creating Fibonacci hyperbolic sine, cosine, and tangent functions—engineers can generate continuous, perfectly smooth acceleration and deceleration profiles</w:t>
      </w:r>
      <w:r w:rsidDel="00000000" w:rsidR="00000000" w:rsidRPr="00000000">
        <w:rPr>
          <w:rFonts w:ascii="Arial" w:cs="Arial" w:eastAsia="Arial" w:hAnsi="Arial"/>
          <w:color w:val="444746"/>
          <w:sz w:val="24"/>
          <w:szCs w:val="24"/>
          <w:vertAlign w:val="superscript"/>
          <w:rtl w:val="0"/>
        </w:rPr>
        <w:t xml:space="preserve">85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Custos cryptoeconomy, Hyperbolic Fibonacci functions are applied to token emission curves and interest rate adjustments. Rather than executing sudden, disruptive monetary policy shifts that trigger market panic and destabilize dual-token models</w:t>
      </w:r>
      <w:r w:rsidDel="00000000" w:rsidR="00000000" w:rsidRPr="00000000">
        <w:rPr>
          <w:rFonts w:ascii="Arial" w:cs="Arial" w:eastAsia="Arial" w:hAnsi="Arial"/>
          <w:color w:val="444746"/>
          <w:sz w:val="24"/>
          <w:szCs w:val="24"/>
          <w:vertAlign w:val="superscript"/>
          <w:rtl w:val="0"/>
        </w:rPr>
        <w:t xml:space="preserve">86</w:t>
      </w:r>
      <w:r w:rsidDel="00000000" w:rsidR="00000000" w:rsidRPr="00000000">
        <w:rPr>
          <w:rFonts w:ascii="Arial" w:cs="Arial" w:eastAsia="Arial" w:hAnsi="Arial"/>
          <w:color w:val="1f1f1f"/>
          <w:rtl w:val="0"/>
        </w:rPr>
        <w:t xml:space="preserve">, the smart contracts utilize Hyperbolic Fibonacci smoothing</w:t>
      </w:r>
      <w:r w:rsidDel="00000000" w:rsidR="00000000" w:rsidRPr="00000000">
        <w:rPr>
          <w:rFonts w:ascii="Arial" w:cs="Arial" w:eastAsia="Arial" w:hAnsi="Arial"/>
          <w:color w:val="444746"/>
          <w:sz w:val="24"/>
          <w:szCs w:val="24"/>
          <w:vertAlign w:val="superscript"/>
          <w:rtl w:val="0"/>
        </w:rPr>
        <w:t xml:space="preserve">85</w:t>
      </w:r>
      <w:r w:rsidDel="00000000" w:rsidR="00000000" w:rsidRPr="00000000">
        <w:rPr>
          <w:rFonts w:ascii="Arial" w:cs="Arial" w:eastAsia="Arial" w:hAnsi="Arial"/>
          <w:color w:val="1f1f1f"/>
          <w:rtl w:val="0"/>
        </w:rPr>
        <w:t xml:space="preserve">. This guarantees a natural, continuous transition between economic stages, mimicking organic growth and ensuring the supreme stability of the ecosystem.</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Operational Synthesis: Navigating the Omniversal Spectrum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these distinct frameworks creates an unparalleled, highly robust cyber-physical architecture. When an autonomous agent, researcher, or digital creator interacts with the Custos 2.0 network, the lifecycle operates through a synchronized, five-step protocol:</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Identity Bootstrapping:</w:t>
      </w:r>
      <w:r w:rsidDel="00000000" w:rsidR="00000000" w:rsidRPr="00000000">
        <w:rPr>
          <w:rFonts w:ascii="Arial" w:cs="Arial" w:eastAsia="Arial" w:hAnsi="Arial"/>
          <w:color w:val="1f1f1f"/>
          <w:rtl w:val="0"/>
        </w:rPr>
        <w:t xml:space="preserve"> The entity connects to the infrastructure and is authenticated by the FMP. A SPIRE agent attests the workload and issues an X.509 SVID, establishing secretless mTLS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Simultaneously, human operators verify their uniqueness using a zk-PoI circuit, ensuring absolute Sybil resistance without exposing PII to the ledger</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Navigational Alignment:</w:t>
      </w:r>
      <w:r w:rsidDel="00000000" w:rsidR="00000000" w:rsidRPr="00000000">
        <w:rPr>
          <w:rFonts w:ascii="Arial" w:cs="Arial" w:eastAsia="Arial" w:hAnsi="Arial"/>
          <w:color w:val="1f1f1f"/>
          <w:rtl w:val="0"/>
        </w:rPr>
        <w:t xml:space="preserve"> The entity establishes its True North, checking its state against the Aequitas alignment anchor to ensure strict compliance with bias mitigation and ethical guidelines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It then positions itself within the Triadic Sextant, defining whether it is engaging in WORK, PLAY, or CREATE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Topological Traversal:</w:t>
      </w:r>
      <w:r w:rsidDel="00000000" w:rsidR="00000000" w:rsidRPr="00000000">
        <w:rPr>
          <w:rFonts w:ascii="Arial" w:cs="Arial" w:eastAsia="Arial" w:hAnsi="Arial"/>
          <w:color w:val="1f1f1f"/>
          <w:rtl w:val="0"/>
        </w:rPr>
        <w:t xml:space="preserve"> As the entity generates data or code, it moves through the parameter space. The system calculates the Nth Radian Wobble, recording the non-Abelian Wilczek-Zee phases acquired as the entity passes through degenerate state transitions on the Möbius manifold, tracking exactly how the operational path alters the asset's underlying matrix</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Materialization and Assaying:</w:t>
      </w:r>
      <w:r w:rsidDel="00000000" w:rsidR="00000000" w:rsidRPr="00000000">
        <w:rPr>
          <w:rFonts w:ascii="Arial" w:cs="Arial" w:eastAsia="Arial" w:hAnsi="Arial"/>
          <w:color w:val="1f1f1f"/>
          <w:rtl w:val="0"/>
        </w:rPr>
        <w:t xml:space="preserve"> The generated artifact is permanently anchored via Proof of Memory temporal prima-clocks and C2PA semantic manifests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system measures the Vector Depth (calculating the Entanglement Heat Premium)</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to determine the precise Universal Ka Pressure required for materialization.</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Economic Settlement:</w:t>
      </w:r>
      <w:r w:rsidDel="00000000" w:rsidR="00000000" w:rsidRPr="00000000">
        <w:rPr>
          <w:rFonts w:ascii="Arial" w:cs="Arial" w:eastAsia="Arial" w:hAnsi="Arial"/>
          <w:color w:val="1f1f1f"/>
          <w:rtl w:val="0"/>
        </w:rPr>
        <w:t xml:space="preserve"> The Master Valuation Formula analyzes the C2PA manifest's cryptographic trust score and the asset's Connection Depth. The resulting value is settled across the ledger using Hyperbolic Fibonacci scaling</w:t>
      </w:r>
      <w:r w:rsidDel="00000000" w:rsidR="00000000" w:rsidRPr="00000000">
        <w:rPr>
          <w:rFonts w:ascii="Arial" w:cs="Arial" w:eastAsia="Arial" w:hAnsi="Arial"/>
          <w:color w:val="444746"/>
          <w:sz w:val="24"/>
          <w:szCs w:val="24"/>
          <w:vertAlign w:val="superscript"/>
          <w:rtl w:val="0"/>
        </w:rPr>
        <w:t xml:space="preserve">85</w:t>
      </w:r>
      <w:r w:rsidDel="00000000" w:rsidR="00000000" w:rsidRPr="00000000">
        <w:rPr>
          <w:rFonts w:ascii="Arial" w:cs="Arial" w:eastAsia="Arial" w:hAnsi="Arial"/>
          <w:color w:val="1f1f1f"/>
          <w:rtl w:val="0"/>
        </w:rPr>
        <w:t xml:space="preserve">. The system distributes Pixel Units (</w:t>
      </w:r>
      <w:r w:rsidDel="00000000" w:rsidR="00000000" w:rsidRPr="00000000">
        <w:rPr>
          <w:rFonts w:ascii="Arial" w:cs="Arial" w:eastAsia="Arial" w:hAnsi="Arial"/>
          <w:color w:val="1f1f1f"/>
        </w:rPr>
        <w:drawing>
          <wp:inline distB="19050" distT="19050" distL="19050" distR="19050">
            <wp:extent cx="101302" cy="246924"/>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1302" cy="246924"/>
                    </a:xfrm>
                    <a:prstGeom prst="rect"/>
                    <a:ln/>
                  </pic:spPr>
                </pic:pic>
              </a:graphicData>
            </a:graphic>
          </wp:inline>
        </w:drawing>
      </w:r>
      <w:r w:rsidDel="00000000" w:rsidR="00000000" w:rsidRPr="00000000">
        <w:rPr>
          <w:rFonts w:ascii="Arial" w:cs="Arial" w:eastAsia="Arial" w:hAnsi="Arial"/>
          <w:color w:val="1f1f1f"/>
          <w:rtl w:val="0"/>
        </w:rPr>
        <w:t xml:space="preserve">) for infrastructure costs, Experience Shards (</w:t>
      </w:r>
      <w:r w:rsidDel="00000000" w:rsidR="00000000" w:rsidRPr="00000000">
        <w:rPr>
          <w:rFonts w:ascii="Arial" w:cs="Arial" w:eastAsia="Arial" w:hAnsi="Arial"/>
          <w:color w:val="1f1f1f"/>
        </w:rPr>
        <w:drawing>
          <wp:inline distB="19050" distT="19050" distL="19050" distR="19050">
            <wp:extent cx="130672" cy="230231"/>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30672" cy="230231"/>
                    </a:xfrm>
                    <a:prstGeom prst="rect"/>
                    <a:ln/>
                  </pic:spPr>
                </pic:pic>
              </a:graphicData>
            </a:graphic>
          </wp:inline>
        </w:drawing>
      </w:r>
      <w:r w:rsidDel="00000000" w:rsidR="00000000" w:rsidRPr="00000000">
        <w:rPr>
          <w:rFonts w:ascii="Arial" w:cs="Arial" w:eastAsia="Arial" w:hAnsi="Arial"/>
          <w:color w:val="1f1f1f"/>
          <w:rtl w:val="0"/>
        </w:rPr>
        <w:t xml:space="preserve">) for verified human labor</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 and Delta Bucks (</w:t>
      </w:r>
      <w:r w:rsidDel="00000000" w:rsidR="00000000" w:rsidRPr="00000000">
        <w:rPr>
          <w:rFonts w:ascii="Arial" w:cs="Arial" w:eastAsia="Arial" w:hAnsi="Arial"/>
          <w:color w:val="1f1f1f"/>
        </w:rPr>
        <w:drawing>
          <wp:inline distB="19050" distT="19050" distL="19050" distR="19050">
            <wp:extent cx="163215" cy="241558"/>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3215" cy="241558"/>
                    </a:xfrm>
                    <a:prstGeom prst="rect"/>
                    <a:ln/>
                  </pic:spPr>
                </pic:pic>
              </a:graphicData>
            </a:graphic>
          </wp:inline>
        </w:drawing>
      </w:r>
      <w:r w:rsidDel="00000000" w:rsidR="00000000" w:rsidRPr="00000000">
        <w:rPr>
          <w:rFonts w:ascii="Arial" w:cs="Arial" w:eastAsia="Arial" w:hAnsi="Arial"/>
          <w:color w:val="1f1f1f"/>
          <w:rtl w:val="0"/>
        </w:rPr>
        <w:t xml:space="preserve">) to absorb market momentum. The final, immutable synthesized value is locked into the Vault Standard via Crystalline Euros (€C).</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Conclusion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Custos 2.0 reference architecture successfully transcends its origins as a basic identity middleware for HPC science gateways. By integrating the Polar Radian Compass and the Crystalline Metric System, it offers a rigorously defined, mathematically grounded blueprint for decentralized, autonomous ecosystems.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the implementation of SPIFFE/SPIRE zero-trust workload identity, Aequitas ethical alignment, and topological geometric phase tracking, the system ensures perfect navigational integrity across complex network manifolds. Concurrently, the economic vulnerabilities that consistently plague traditional multi-token systems are eradicated through the Identity-Bound Asset Integrity Model (IBAIM), Zero-Knowledge Proofs of Identity (zk-PoI), and Hyperbolic Fibonacci scaling. The result is a sovereign, non-inflationary, and forensically secure architecture capable of mapping the deepest technical realities and the highest creative potentials of the omniversal spectrum.</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README.md - apache/airavata-custos - GitHub, </w:t>
      </w:r>
      <w:hyperlink r:id="rId18">
        <w:r w:rsidDel="00000000" w:rsidR="00000000" w:rsidRPr="00000000">
          <w:rPr>
            <w:rFonts w:ascii="Arial" w:cs="Arial" w:eastAsia="Arial" w:hAnsi="Arial"/>
            <w:color w:val="0000ee"/>
            <w:sz w:val="24"/>
            <w:szCs w:val="24"/>
            <w:u w:val="single"/>
            <w:rtl w:val="0"/>
          </w:rPr>
          <w:t xml:space="preserve">https://github.com/apache/airavata-custos/blob/master/README.md</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Science Gateway Integration Examples with the Custos Security, </w:t>
      </w:r>
      <w:hyperlink r:id="rId19">
        <w:r w:rsidDel="00000000" w:rsidR="00000000" w:rsidRPr="00000000">
          <w:rPr>
            <w:rFonts w:ascii="Arial" w:cs="Arial" w:eastAsia="Arial" w:hAnsi="Arial"/>
            <w:color w:val="0000ee"/>
            <w:sz w:val="24"/>
            <w:szCs w:val="24"/>
            <w:u w:val="single"/>
            <w:rtl w:val="0"/>
          </w:rPr>
          <w:t xml:space="preserve">https://sc21.supercomputing.org/proceedings/workshops/workshop_pages/ws_hust103.html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Custos Security Framework - Apache Airavata, </w:t>
      </w:r>
      <w:hyperlink r:id="rId20">
        <w:r w:rsidDel="00000000" w:rsidR="00000000" w:rsidRPr="00000000">
          <w:rPr>
            <w:rFonts w:ascii="Arial" w:cs="Arial" w:eastAsia="Arial" w:hAnsi="Arial"/>
            <w:color w:val="0000ee"/>
            <w:sz w:val="24"/>
            <w:szCs w:val="24"/>
            <w:u w:val="single"/>
            <w:rtl w:val="0"/>
          </w:rPr>
          <w:t xml:space="preserve">https://airavata.apache.org/custos/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Custos: Security Middleware for Science Gateways - Semantic Scholar, </w:t>
      </w:r>
      <w:hyperlink r:id="rId21">
        <w:r w:rsidDel="00000000" w:rsidR="00000000" w:rsidRPr="00000000">
          <w:rPr>
            <w:rFonts w:ascii="Arial" w:cs="Arial" w:eastAsia="Arial" w:hAnsi="Arial"/>
            <w:color w:val="0000ee"/>
            <w:sz w:val="24"/>
            <w:szCs w:val="24"/>
            <w:u w:val="single"/>
            <w:rtl w:val="0"/>
          </w:rPr>
          <w:t xml:space="preserve">https://www.semanticscholar.org/paper/Custos%3A-Security-Middleware-for-Science-Gateways-Ranawaka-Marru/94929b68b34fc9b022481fc6e54d73fcdf01ba55</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Custos: Security Middleware for Science Gateways - ResearchGate, </w:t>
      </w:r>
      <w:hyperlink r:id="rId22">
        <w:r w:rsidDel="00000000" w:rsidR="00000000" w:rsidRPr="00000000">
          <w:rPr>
            <w:rFonts w:ascii="Arial" w:cs="Arial" w:eastAsia="Arial" w:hAnsi="Arial"/>
            <w:color w:val="0000ee"/>
            <w:sz w:val="24"/>
            <w:szCs w:val="24"/>
            <w:u w:val="single"/>
            <w:rtl w:val="0"/>
          </w:rPr>
          <w:t xml:space="preserve">https://www.researchgate.net/publication/343223170_Custos_Security_Middleware_for_Science_Gateways</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Science Gateway: Integrating Research Tools - Emergent Mind, </w:t>
      </w:r>
      <w:hyperlink r:id="rId23">
        <w:r w:rsidDel="00000000" w:rsidR="00000000" w:rsidRPr="00000000">
          <w:rPr>
            <w:rFonts w:ascii="Arial" w:cs="Arial" w:eastAsia="Arial" w:hAnsi="Arial"/>
            <w:color w:val="0000ee"/>
            <w:sz w:val="24"/>
            <w:szCs w:val="24"/>
            <w:u w:val="single"/>
            <w:rtl w:val="0"/>
          </w:rPr>
          <w:t xml:space="preserve">https://www.emergentmind.com/topics/science-gateway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Importance of Science Gateway Frameworks for Research and Their, </w:t>
      </w:r>
      <w:hyperlink r:id="rId24">
        <w:r w:rsidDel="00000000" w:rsidR="00000000" w:rsidRPr="00000000">
          <w:rPr>
            <w:rFonts w:ascii="Arial" w:cs="Arial" w:eastAsia="Arial" w:hAnsi="Arial"/>
            <w:color w:val="0000ee"/>
            <w:sz w:val="24"/>
            <w:szCs w:val="24"/>
            <w:u w:val="single"/>
            <w:rtl w:val="0"/>
          </w:rPr>
          <w:t xml:space="preserve">https://zenodo.org/records/14031569</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Tutorials | 17th IEEE eScience 2021, </w:t>
      </w:r>
      <w:hyperlink r:id="rId25">
        <w:r w:rsidDel="00000000" w:rsidR="00000000" w:rsidRPr="00000000">
          <w:rPr>
            <w:rFonts w:ascii="Arial" w:cs="Arial" w:eastAsia="Arial" w:hAnsi="Arial"/>
            <w:color w:val="0000ee"/>
            <w:sz w:val="24"/>
            <w:szCs w:val="24"/>
            <w:u w:val="single"/>
            <w:rtl w:val="0"/>
          </w:rPr>
          <w:t xml:space="preserve">https://www.escience2021.org/tutorials</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CUSTOS: Toward Forensic-Ready Zero Trust at the Capture ... - arXiv, </w:t>
      </w:r>
      <w:hyperlink r:id="rId26">
        <w:r w:rsidDel="00000000" w:rsidR="00000000" w:rsidRPr="00000000">
          <w:rPr>
            <w:rFonts w:ascii="Arial" w:cs="Arial" w:eastAsia="Arial" w:hAnsi="Arial"/>
            <w:color w:val="0000ee"/>
            <w:sz w:val="24"/>
            <w:szCs w:val="24"/>
            <w:u w:val="single"/>
            <w:rtl w:val="0"/>
          </w:rPr>
          <w:t xml:space="preserve">https://arxiv.org/html/2608.17068v2</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Challenges in Token Economics - arXiv, </w:t>
      </w:r>
      <w:hyperlink r:id="rId27">
        <w:r w:rsidDel="00000000" w:rsidR="00000000" w:rsidRPr="00000000">
          <w:rPr>
            <w:rFonts w:ascii="Arial" w:cs="Arial" w:eastAsia="Arial" w:hAnsi="Arial"/>
            <w:color w:val="0000ee"/>
            <w:sz w:val="24"/>
            <w:szCs w:val="24"/>
            <w:u w:val="single"/>
            <w:rtl w:val="0"/>
          </w:rPr>
          <w:t xml:space="preserve">https://arxiv.org/html/2605.17410v1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arXiv:1410.2594v3 [cond-mat.str-el] 20 Jun 2015, </w:t>
      </w:r>
      <w:hyperlink r:id="rId28">
        <w:r w:rsidDel="00000000" w:rsidR="00000000" w:rsidRPr="00000000">
          <w:rPr>
            <w:rFonts w:ascii="Arial" w:cs="Arial" w:eastAsia="Arial" w:hAnsi="Arial"/>
            <w:color w:val="0000ee"/>
            <w:sz w:val="24"/>
            <w:szCs w:val="24"/>
            <w:u w:val="single"/>
            <w:rtl w:val="0"/>
          </w:rPr>
          <w:t xml:space="preserve">https://arxiv.org/pdf/1410.2594</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Berry-Chern monopoles and spectral flows - arXiv, </w:t>
      </w:r>
      <w:hyperlink r:id="rId29">
        <w:r w:rsidDel="00000000" w:rsidR="00000000" w:rsidRPr="00000000">
          <w:rPr>
            <w:rFonts w:ascii="Arial" w:cs="Arial" w:eastAsia="Arial" w:hAnsi="Arial"/>
            <w:color w:val="0000ee"/>
            <w:sz w:val="24"/>
            <w:szCs w:val="24"/>
            <w:u w:val="single"/>
            <w:rtl w:val="0"/>
          </w:rPr>
          <w:t xml:space="preserve">https://arxiv.org/html/2110.13024v1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Identity-Bound Asset Integrity Model (IBAIM) for Sustainable, </w:t>
      </w:r>
      <w:hyperlink r:id="rId30">
        <w:r w:rsidDel="00000000" w:rsidR="00000000" w:rsidRPr="00000000">
          <w:rPr>
            <w:rFonts w:ascii="Arial" w:cs="Arial" w:eastAsia="Arial" w:hAnsi="Arial"/>
            <w:color w:val="0000ee"/>
            <w:sz w:val="24"/>
            <w:szCs w:val="24"/>
            <w:u w:val="single"/>
            <w:rtl w:val="0"/>
          </w:rPr>
          <w:t xml:space="preserve">https://arxiv.org/pdf/2604.20737</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SPIFFE and SPIRE? - Red Hat, </w:t>
      </w:r>
      <w:hyperlink r:id="rId31">
        <w:r w:rsidDel="00000000" w:rsidR="00000000" w:rsidRPr="00000000">
          <w:rPr>
            <w:rFonts w:ascii="Arial" w:cs="Arial" w:eastAsia="Arial" w:hAnsi="Arial"/>
            <w:color w:val="0000ee"/>
            <w:sz w:val="24"/>
            <w:szCs w:val="24"/>
            <w:u w:val="single"/>
            <w:rtl w:val="0"/>
          </w:rPr>
          <w:t xml:space="preserve">https://www.redhat.com/en/topics/security/spiffe-and-spire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SPIFFE and SPIRE Explained: The Foundation of Zero Trust for, </w:t>
      </w:r>
      <w:hyperlink r:id="rId32">
        <w:r w:rsidDel="00000000" w:rsidR="00000000" w:rsidRPr="00000000">
          <w:rPr>
            <w:rFonts w:ascii="Arial" w:cs="Arial" w:eastAsia="Arial" w:hAnsi="Arial"/>
            <w:color w:val="0000ee"/>
            <w:sz w:val="24"/>
            <w:szCs w:val="24"/>
            <w:u w:val="single"/>
            <w:rtl w:val="0"/>
          </w:rPr>
          <w:t xml:space="preserve">https://blog.ogwilliam.com/post/spiffe-spire-explained</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 to Trusted: SPIFFE and SPIRE, Demystified | Ryan Spletzer, </w:t>
      </w:r>
      <w:hyperlink r:id="rId33">
        <w:r w:rsidDel="00000000" w:rsidR="00000000" w:rsidRPr="00000000">
          <w:rPr>
            <w:rFonts w:ascii="Arial" w:cs="Arial" w:eastAsia="Arial" w:hAnsi="Arial"/>
            <w:color w:val="0000ee"/>
            <w:sz w:val="24"/>
            <w:szCs w:val="24"/>
            <w:u w:val="single"/>
            <w:rtl w:val="0"/>
          </w:rPr>
          <w:t xml:space="preserve">https://www.spletzer.com/2025/03/zero-to-trusted-spiffe-and-spire-demystified/</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SPIFFE Identity and Verifiable Identity Document, </w:t>
      </w:r>
      <w:hyperlink r:id="rId34">
        <w:r w:rsidDel="00000000" w:rsidR="00000000" w:rsidRPr="00000000">
          <w:rPr>
            <w:rFonts w:ascii="Arial" w:cs="Arial" w:eastAsia="Arial" w:hAnsi="Arial"/>
            <w:color w:val="0000ee"/>
            <w:sz w:val="24"/>
            <w:szCs w:val="24"/>
            <w:u w:val="single"/>
            <w:rtl w:val="0"/>
          </w:rPr>
          <w:t xml:space="preserve">https://spiffe.io/docs/latest/spiffe-specs/spiffe-id/</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SPIFFE | Secure Production Identity Framework for Everyone, </w:t>
      </w:r>
      <w:hyperlink r:id="rId35">
        <w:r w:rsidDel="00000000" w:rsidR="00000000" w:rsidRPr="00000000">
          <w:rPr>
            <w:rFonts w:ascii="Arial" w:cs="Arial" w:eastAsia="Arial" w:hAnsi="Arial"/>
            <w:color w:val="0000ee"/>
            <w:sz w:val="24"/>
            <w:szCs w:val="24"/>
            <w:u w:val="single"/>
            <w:rtl w:val="0"/>
          </w:rPr>
          <w:t xml:space="preserve">https://spiffe.io/</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SPIFFE: Securing the identity of agentic AI and non-human actors, </w:t>
      </w:r>
      <w:hyperlink r:id="rId36">
        <w:r w:rsidDel="00000000" w:rsidR="00000000" w:rsidRPr="00000000">
          <w:rPr>
            <w:rFonts w:ascii="Arial" w:cs="Arial" w:eastAsia="Arial" w:hAnsi="Arial"/>
            <w:color w:val="0000ee"/>
            <w:sz w:val="24"/>
            <w:szCs w:val="24"/>
            <w:u w:val="single"/>
            <w:rtl w:val="0"/>
          </w:rPr>
          <w:t xml:space="preserve">https://www.hashicorp.com/en/blog/spiffe-securing-the-identity-of-agentic-ai-and-non-human-actors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Modernizing Database Authentication with SPIFFE and SPIRE, </w:t>
      </w:r>
      <w:hyperlink r:id="rId37">
        <w:r w:rsidDel="00000000" w:rsidR="00000000" w:rsidRPr="00000000">
          <w:rPr>
            <w:rFonts w:ascii="Arial" w:cs="Arial" w:eastAsia="Arial" w:hAnsi="Arial"/>
            <w:color w:val="0000ee"/>
            <w:sz w:val="24"/>
            <w:szCs w:val="24"/>
            <w:u w:val="single"/>
            <w:rtl w:val="0"/>
          </w:rPr>
          <w:t xml:space="preserve">https://www.cockroachlabs.com/blog/zero-trust-database-authentication-spiffe-spire/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Explanation and description in phenomenological psychopathology, </w:t>
      </w:r>
      <w:hyperlink r:id="rId38">
        <w:r w:rsidDel="00000000" w:rsidR="00000000" w:rsidRPr="00000000">
          <w:rPr>
            <w:rFonts w:ascii="Arial" w:cs="Arial" w:eastAsia="Arial" w:hAnsi="Arial"/>
            <w:color w:val="0000ee"/>
            <w:sz w:val="24"/>
            <w:szCs w:val="24"/>
            <w:u w:val="single"/>
            <w:rtl w:val="0"/>
          </w:rPr>
          <w:t xml:space="preserve">https://scispace.com/pdf/explanation-and-description-in-phenomenological-3x2gaboyi7.pdf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Ian William van Eenennaam - PhilPeople, </w:t>
      </w:r>
      <w:hyperlink r:id="rId39">
        <w:r w:rsidDel="00000000" w:rsidR="00000000" w:rsidRPr="00000000">
          <w:rPr>
            <w:rFonts w:ascii="Arial" w:cs="Arial" w:eastAsia="Arial" w:hAnsi="Arial"/>
            <w:color w:val="0000ee"/>
            <w:sz w:val="24"/>
            <w:szCs w:val="24"/>
            <w:u w:val="single"/>
            <w:rtl w:val="0"/>
          </w:rPr>
          <w:t xml:space="preserve">https://philpeople.org/profiles/ian-william-van-eenennaam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knowing-by-being, primary facts, and bodily selfhood Authors Parker, </w:t>
      </w:r>
      <w:hyperlink r:id="rId40">
        <w:r w:rsidDel="00000000" w:rsidR="00000000" w:rsidRPr="00000000">
          <w:rPr>
            <w:rFonts w:ascii="Arial" w:cs="Arial" w:eastAsia="Arial" w:hAnsi="Arial"/>
            <w:color w:val="0000ee"/>
            <w:sz w:val="24"/>
            <w:szCs w:val="24"/>
            <w:u w:val="single"/>
            <w:rtl w:val="0"/>
          </w:rPr>
          <w:t xml:space="preserve">https://cora.ucc.ie/bitstreams/daf7add2-7597-4f0d-bf05-86ef2b0fc8a0/download</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Ipseity Question: Descombes and Heidegger - Academia.edu, </w:t>
      </w:r>
      <w:hyperlink r:id="rId41">
        <w:r w:rsidDel="00000000" w:rsidR="00000000" w:rsidRPr="00000000">
          <w:rPr>
            <w:rFonts w:ascii="Arial" w:cs="Arial" w:eastAsia="Arial" w:hAnsi="Arial"/>
            <w:color w:val="0000ee"/>
            <w:sz w:val="24"/>
            <w:szCs w:val="24"/>
            <w:u w:val="single"/>
            <w:rtl w:val="0"/>
          </w:rPr>
          <w:t xml:space="preserve">https://www.academia.edu/35254252/The_Ipseity_Question_Descombes_and_Heidegger</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Kant's transcendental apperception and 'ipseity' in phenomenology, </w:t>
      </w:r>
      <w:hyperlink r:id="rId42">
        <w:r w:rsidDel="00000000" w:rsidR="00000000" w:rsidRPr="00000000">
          <w:rPr>
            <w:rFonts w:ascii="Arial" w:cs="Arial" w:eastAsia="Arial" w:hAnsi="Arial"/>
            <w:color w:val="0000ee"/>
            <w:sz w:val="24"/>
            <w:szCs w:val="24"/>
            <w:u w:val="single"/>
            <w:rtl w:val="0"/>
          </w:rPr>
          <w:t xml:space="preserve">https://philosophy.stackexchange.com/questions/94909/kants-transcendental-apperception-and-ipseity-in-phenomenology</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Subjectivity and Selfhood: Investigating the First-Person Perspective, </w:t>
      </w:r>
      <w:hyperlink r:id="rId43">
        <w:r w:rsidDel="00000000" w:rsidR="00000000" w:rsidRPr="00000000">
          <w:rPr>
            <w:rFonts w:ascii="Arial" w:cs="Arial" w:eastAsia="Arial" w:hAnsi="Arial"/>
            <w:color w:val="0000ee"/>
            <w:sz w:val="24"/>
            <w:szCs w:val="24"/>
            <w:u w:val="single"/>
            <w:rtl w:val="0"/>
          </w:rPr>
          <w:t xml:space="preserve">https://www.researchgate.net/publication/200027560_Subjectivity_and_Selfhood_Investigating_the_First-Person_Perspective</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Aequitas: A Bias and Fairness Audit Toolkit - ResearchGate, </w:t>
      </w:r>
      <w:hyperlink r:id="rId44">
        <w:r w:rsidDel="00000000" w:rsidR="00000000" w:rsidRPr="00000000">
          <w:rPr>
            <w:rFonts w:ascii="Arial" w:cs="Arial" w:eastAsia="Arial" w:hAnsi="Arial"/>
            <w:color w:val="0000ee"/>
            <w:sz w:val="24"/>
            <w:szCs w:val="24"/>
            <w:u w:val="single"/>
            <w:rtl w:val="0"/>
          </w:rPr>
          <w:t xml:space="preserve">https://www.researchgate.net/publication/328953080_Aequitas_A_Bias_and_Fairness_Audit_Toolkit</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Governing the Machine: Building an AI Governance Framework That, </w:t>
      </w:r>
      <w:hyperlink r:id="rId45">
        <w:r w:rsidDel="00000000" w:rsidR="00000000" w:rsidRPr="00000000">
          <w:rPr>
            <w:rFonts w:ascii="Arial" w:cs="Arial" w:eastAsia="Arial" w:hAnsi="Arial"/>
            <w:color w:val="0000ee"/>
            <w:sz w:val="24"/>
            <w:szCs w:val="24"/>
            <w:u w:val="single"/>
            <w:rtl w:val="0"/>
          </w:rPr>
          <w:t xml:space="preserve">https://censinet.com/perspectives/governing-machine-ai-governance-framework-patients-innovation</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Aequitas Strategy | AI Governance &amp; Legal Design, </w:t>
      </w:r>
      <w:hyperlink r:id="rId46">
        <w:r w:rsidDel="00000000" w:rsidR="00000000" w:rsidRPr="00000000">
          <w:rPr>
            <w:rFonts w:ascii="Arial" w:cs="Arial" w:eastAsia="Arial" w:hAnsi="Arial"/>
            <w:color w:val="0000ee"/>
            <w:sz w:val="24"/>
            <w:szCs w:val="24"/>
            <w:u w:val="single"/>
            <w:rtl w:val="0"/>
          </w:rPr>
          <w:t xml:space="preserve">https://digitalaequitas.ro/</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Governance Frameworks - Tetrate, </w:t>
      </w:r>
      <w:hyperlink r:id="rId47">
        <w:r w:rsidDel="00000000" w:rsidR="00000000" w:rsidRPr="00000000">
          <w:rPr>
            <w:rFonts w:ascii="Arial" w:cs="Arial" w:eastAsia="Arial" w:hAnsi="Arial"/>
            <w:color w:val="0000ee"/>
            <w:sz w:val="24"/>
            <w:szCs w:val="24"/>
            <w:u w:val="single"/>
            <w:rtl w:val="0"/>
          </w:rPr>
          <w:t xml:space="preserve">https://tetrate.io/learn/ai/ai-governance-frameworks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Five-Layer Framework for AI Governance: Integrating Regulation, </w:t>
      </w:r>
      <w:hyperlink r:id="rId48">
        <w:r w:rsidDel="00000000" w:rsidR="00000000" w:rsidRPr="00000000">
          <w:rPr>
            <w:rFonts w:ascii="Arial" w:cs="Arial" w:eastAsia="Arial" w:hAnsi="Arial"/>
            <w:color w:val="0000ee"/>
            <w:sz w:val="24"/>
            <w:szCs w:val="24"/>
            <w:u w:val="single"/>
            <w:rtl w:val="0"/>
          </w:rPr>
          <w:t xml:space="preserve">https://arxiv.org/pdf/2509.11332</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Cryptographic and Semantic Framework for Provenance, Trust, </w:t>
      </w:r>
      <w:hyperlink r:id="rId49">
        <w:r w:rsidDel="00000000" w:rsidR="00000000" w:rsidRPr="00000000">
          <w:rPr>
            <w:rFonts w:ascii="Arial" w:cs="Arial" w:eastAsia="Arial" w:hAnsi="Arial"/>
            <w:color w:val="0000ee"/>
            <w:sz w:val="24"/>
            <w:szCs w:val="24"/>
            <w:u w:val="single"/>
            <w:rtl w:val="0"/>
          </w:rPr>
          <w:t xml:space="preserve">https://www.researchgate.net/publication/399533938_A_Cryptographic_and_Semantic_Framework_for_Provenance_Trust_and_Verification_of_Digital_Knowledge_Artifacts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Decentralised Content Platforms for Equitable and Privacy, </w:t>
      </w:r>
      <w:hyperlink r:id="rId50">
        <w:r w:rsidDel="00000000" w:rsidR="00000000" w:rsidRPr="00000000">
          <w:rPr>
            <w:rFonts w:ascii="Arial" w:cs="Arial" w:eastAsia="Arial" w:hAnsi="Arial"/>
            <w:color w:val="0000ee"/>
            <w:sz w:val="24"/>
            <w:szCs w:val="24"/>
            <w:u w:val="single"/>
            <w:rtl w:val="0"/>
          </w:rPr>
          <w:t xml:space="preserve">https://openresearch.surrey.ac.uk/view/pdfCoverPage?instCode=44SUR_INST&amp;filePid=13236897000002346&amp;download=true</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Fundamental Thermodynamic Cost for Erasing Quantum, </w:t>
      </w:r>
      <w:hyperlink r:id="rId51">
        <w:r w:rsidDel="00000000" w:rsidR="00000000" w:rsidRPr="00000000">
          <w:rPr>
            <w:rFonts w:ascii="Arial" w:cs="Arial" w:eastAsia="Arial" w:hAnsi="Arial"/>
            <w:color w:val="0000ee"/>
            <w:sz w:val="24"/>
            <w:szCs w:val="24"/>
            <w:u w:val="single"/>
            <w:rtl w:val="0"/>
          </w:rPr>
          <w:t xml:space="preserve">https://www.researchgate.net/publication/396522953_The_Entanglement_Heat_Premium_A_Fundamental_Thermodynamic_Cost_for_Erasing_Quantum_Correlations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thermodynamic cost of quantum operations - arXiv, </w:t>
      </w:r>
      <w:hyperlink r:id="rId52">
        <w:r w:rsidDel="00000000" w:rsidR="00000000" w:rsidRPr="00000000">
          <w:rPr>
            <w:rFonts w:ascii="Arial" w:cs="Arial" w:eastAsia="Arial" w:hAnsi="Arial"/>
            <w:color w:val="0000ee"/>
            <w:sz w:val="24"/>
            <w:szCs w:val="24"/>
            <w:u w:val="single"/>
            <w:rtl w:val="0"/>
          </w:rPr>
          <w:t xml:space="preserve">https://arxiv.org/html/1604.03749v1</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Renormalization of Spacetime Dimension - ResearchGate, </w:t>
      </w:r>
      <w:hyperlink r:id="rId53">
        <w:r w:rsidDel="00000000" w:rsidR="00000000" w:rsidRPr="00000000">
          <w:rPr>
            <w:rFonts w:ascii="Arial" w:cs="Arial" w:eastAsia="Arial" w:hAnsi="Arial"/>
            <w:color w:val="0000ee"/>
            <w:sz w:val="24"/>
            <w:szCs w:val="24"/>
            <w:u w:val="single"/>
            <w:rtl w:val="0"/>
          </w:rPr>
          <w:t xml:space="preserve">https://www.researchgate.net/publication/400515377_Renormalization_of_Spacetime_Dimension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Fibre bundle structure of the Möbius band - Physics Forums, </w:t>
      </w:r>
      <w:hyperlink r:id="rId54">
        <w:r w:rsidDel="00000000" w:rsidR="00000000" w:rsidRPr="00000000">
          <w:rPr>
            <w:rFonts w:ascii="Arial" w:cs="Arial" w:eastAsia="Arial" w:hAnsi="Arial"/>
            <w:color w:val="0000ee"/>
            <w:sz w:val="24"/>
            <w:szCs w:val="24"/>
            <w:u w:val="single"/>
            <w:rtl w:val="0"/>
          </w:rPr>
          <w:t xml:space="preserve">https://www.physicsforums.com/threads/fibre-bundle-structure-of-the-mobius-band.580101/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the Berry phase, Holonomy and Aharonov-Bohm Effect, </w:t>
      </w:r>
      <w:hyperlink r:id="rId55">
        <w:r w:rsidDel="00000000" w:rsidR="00000000" w:rsidRPr="00000000">
          <w:rPr>
            <w:rFonts w:ascii="Arial" w:cs="Arial" w:eastAsia="Arial" w:hAnsi="Arial"/>
            <w:color w:val="0000ee"/>
            <w:sz w:val="24"/>
            <w:szCs w:val="24"/>
            <w:u w:val="single"/>
            <w:rtl w:val="0"/>
          </w:rPr>
          <w:t xml:space="preserve">https://www.sesajad.me/res/things/holonomy/holonomy.pdf</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Topological Phononics - arXiv, </w:t>
      </w:r>
      <w:hyperlink r:id="rId56">
        <w:r w:rsidDel="00000000" w:rsidR="00000000" w:rsidRPr="00000000">
          <w:rPr>
            <w:rFonts w:ascii="Arial" w:cs="Arial" w:eastAsia="Arial" w:hAnsi="Arial"/>
            <w:color w:val="0000ee"/>
            <w:sz w:val="24"/>
            <w:szCs w:val="24"/>
            <w:u w:val="single"/>
            <w:rtl w:val="0"/>
          </w:rPr>
          <w:t xml:space="preserve">https://arxiv.org/html/2605.20900v1</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[2503.13604] Quantum geometry of non-Hermitian systems - arXiv, </w:t>
      </w:r>
      <w:hyperlink r:id="rId57">
        <w:r w:rsidDel="00000000" w:rsidR="00000000" w:rsidRPr="00000000">
          <w:rPr>
            <w:rFonts w:ascii="Arial" w:cs="Arial" w:eastAsia="Arial" w:hAnsi="Arial"/>
            <w:color w:val="0000ee"/>
            <w:sz w:val="24"/>
            <w:szCs w:val="24"/>
            <w:u w:val="single"/>
            <w:rtl w:val="0"/>
          </w:rPr>
          <w:t xml:space="preserve">https://arxiv.org/abs/2503.13604</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Observation of Berry Phases in Optical Moebius-strip, </w:t>
      </w:r>
      <w:hyperlink r:id="rId58">
        <w:r w:rsidDel="00000000" w:rsidR="00000000" w:rsidRPr="00000000">
          <w:rPr>
            <w:rFonts w:ascii="Arial" w:cs="Arial" w:eastAsia="Arial" w:hAnsi="Arial"/>
            <w:color w:val="0000ee"/>
            <w:sz w:val="24"/>
            <w:szCs w:val="24"/>
            <w:u w:val="single"/>
            <w:rtl w:val="0"/>
          </w:rPr>
          <w:t xml:space="preserve">https://www.researchgate.net/publication/361206524_Experimental_Observation_of_Berry_Phases_in_Optical_Moebius-strip_Microcavities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Uhlmann and scalar Wilczek-Zee phases of degenerate quantum, </w:t>
      </w:r>
      <w:hyperlink r:id="rId59">
        <w:r w:rsidDel="00000000" w:rsidR="00000000" w:rsidRPr="00000000">
          <w:rPr>
            <w:rFonts w:ascii="Arial" w:cs="Arial" w:eastAsia="Arial" w:hAnsi="Arial"/>
            <w:color w:val="0000ee"/>
            <w:sz w:val="24"/>
            <w:szCs w:val="24"/>
            <w:u w:val="single"/>
            <w:rtl w:val="0"/>
          </w:rPr>
          <w:t xml:space="preserve">https://arxiv.org/pdf/2505.15609</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Uhlmann and scalar Wilczek-Zee phases of degenerate quantum, </w:t>
      </w:r>
      <w:hyperlink r:id="rId60">
        <w:r w:rsidDel="00000000" w:rsidR="00000000" w:rsidRPr="00000000">
          <w:rPr>
            <w:rFonts w:ascii="Arial" w:cs="Arial" w:eastAsia="Arial" w:hAnsi="Arial"/>
            <w:color w:val="0000ee"/>
            <w:sz w:val="24"/>
            <w:szCs w:val="24"/>
            <w:u w:val="single"/>
            <w:rtl w:val="0"/>
          </w:rPr>
          <w:t xml:space="preserve">https://arxiv.org/html/2505.15609v1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Nonabelian elastic metamaterials using holonomies acquired by, </w:t>
      </w:r>
      <w:hyperlink r:id="rId61">
        <w:r w:rsidDel="00000000" w:rsidR="00000000" w:rsidRPr="00000000">
          <w:rPr>
            <w:rFonts w:ascii="Arial" w:cs="Arial" w:eastAsia="Arial" w:hAnsi="Arial"/>
            <w:color w:val="0000ee"/>
            <w:sz w:val="24"/>
            <w:szCs w:val="24"/>
            <w:u w:val="single"/>
            <w:rtl w:val="0"/>
          </w:rPr>
          <w:t xml:space="preserve">https://arxiv.org/html/2603.13979v1</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Fundamentals of Symmetry and Topology: Applications to Materials, </w:t>
      </w:r>
      <w:hyperlink r:id="rId62">
        <w:r w:rsidDel="00000000" w:rsidR="00000000" w:rsidRPr="00000000">
          <w:rPr>
            <w:rFonts w:ascii="Arial" w:cs="Arial" w:eastAsia="Arial" w:hAnsi="Arial"/>
            <w:color w:val="0000ee"/>
            <w:sz w:val="24"/>
            <w:szCs w:val="24"/>
            <w:u w:val="single"/>
            <w:rtl w:val="0"/>
          </w:rPr>
          <w:t xml:space="preserve">https://www.mdpi.com/2073-8994/17/6/807</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geometrical effects in non-Hermitian systems - arXiv, </w:t>
      </w:r>
      <w:hyperlink r:id="rId63">
        <w:r w:rsidDel="00000000" w:rsidR="00000000" w:rsidRPr="00000000">
          <w:rPr>
            <w:rFonts w:ascii="Arial" w:cs="Arial" w:eastAsia="Arial" w:hAnsi="Arial"/>
            <w:color w:val="0000ee"/>
            <w:sz w:val="24"/>
            <w:szCs w:val="24"/>
            <w:u w:val="single"/>
            <w:rtl w:val="0"/>
          </w:rPr>
          <w:t xml:space="preserve">https://arxiv.org/html/2512.07264v2</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observation of Berry phases in optical Möbius-strip, </w:t>
      </w:r>
      <w:hyperlink r:id="rId64">
        <w:r w:rsidDel="00000000" w:rsidR="00000000" w:rsidRPr="00000000">
          <w:rPr>
            <w:rFonts w:ascii="Arial" w:cs="Arial" w:eastAsia="Arial" w:hAnsi="Arial"/>
            <w:color w:val="0000ee"/>
            <w:sz w:val="24"/>
            <w:szCs w:val="24"/>
            <w:u w:val="single"/>
            <w:rtl w:val="0"/>
          </w:rPr>
          <w:t xml:space="preserve">https://www.researchgate.net/publication/366526348_Experimental_observation_of_Berry_phases_in_optical_Mobius-strip_microcavities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Wilson loop and Wilczek-Zee phase from a non-Abelian gauge field, </w:t>
      </w:r>
      <w:hyperlink r:id="rId65">
        <w:r w:rsidDel="00000000" w:rsidR="00000000" w:rsidRPr="00000000">
          <w:rPr>
            <w:rFonts w:ascii="Arial" w:cs="Arial" w:eastAsia="Arial" w:hAnsi="Arial"/>
            <w:color w:val="0000ee"/>
            <w:sz w:val="24"/>
            <w:szCs w:val="24"/>
            <w:u w:val="single"/>
            <w:rtl w:val="0"/>
          </w:rPr>
          <w:t xml:space="preserve">https://www.researchgate.net/publication/354960574_Wilson_loop_and_Wilczek-Zee_phase_from_a_non-Abelian_gauge_field</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Wilczek-Zee Realization of Uhlmann Parallel Transport - arXiv, </w:t>
      </w:r>
      <w:hyperlink r:id="rId66">
        <w:r w:rsidDel="00000000" w:rsidR="00000000" w:rsidRPr="00000000">
          <w:rPr>
            <w:rFonts w:ascii="Arial" w:cs="Arial" w:eastAsia="Arial" w:hAnsi="Arial"/>
            <w:color w:val="0000ee"/>
            <w:sz w:val="24"/>
            <w:szCs w:val="24"/>
            <w:u w:val="single"/>
            <w:rtl w:val="0"/>
          </w:rPr>
          <w:t xml:space="preserve">https://arxiv.org/pdf/2607.05591</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M¨obius Band as a Fiber Bundle | PDF | Mathematical Concepts, </w:t>
      </w:r>
      <w:hyperlink r:id="rId67">
        <w:r w:rsidDel="00000000" w:rsidR="00000000" w:rsidRPr="00000000">
          <w:rPr>
            <w:rFonts w:ascii="Arial" w:cs="Arial" w:eastAsia="Arial" w:hAnsi="Arial"/>
            <w:color w:val="0000ee"/>
            <w:sz w:val="24"/>
            <w:szCs w:val="24"/>
            <w:u w:val="single"/>
            <w:rtl w:val="0"/>
          </w:rPr>
          <w:t xml:space="preserve">https://www.scribd.com/document/902117348/Mobius-Bundle-1</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Möbius strip is a fibre bundle with fibre I, base S 1 and structure, </w:t>
      </w:r>
      <w:hyperlink r:id="rId68">
        <w:r w:rsidDel="00000000" w:rsidR="00000000" w:rsidRPr="00000000">
          <w:rPr>
            <w:rFonts w:ascii="Arial" w:cs="Arial" w:eastAsia="Arial" w:hAnsi="Arial"/>
            <w:color w:val="0000ee"/>
            <w:sz w:val="24"/>
            <w:szCs w:val="24"/>
            <w:u w:val="single"/>
            <w:rtl w:val="0"/>
          </w:rPr>
          <w:t xml:space="preserve">https://www.researchgate.net/figure/The-Moebius-strip-is-a-fibre-bundle-with-fibre-I-base-S-1-and-structure-group-Z-2-The_fig3_324623421</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m¨obius band as a fiber bundle - Jai Aslam, </w:t>
      </w:r>
      <w:hyperlink r:id="rId69">
        <w:r w:rsidDel="00000000" w:rsidR="00000000" w:rsidRPr="00000000">
          <w:rPr>
            <w:rFonts w:ascii="Arial" w:cs="Arial" w:eastAsia="Arial" w:hAnsi="Arial"/>
            <w:color w:val="0000ee"/>
            <w:sz w:val="24"/>
            <w:szCs w:val="24"/>
            <w:u w:val="single"/>
            <w:rtl w:val="0"/>
          </w:rPr>
          <w:t xml:space="preserve">https://jaslam.wordpress.ncsu.edu/files/2020/08/Mobius_Bundle-1.pdf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Holonomy group of Möbius strip - Math Stack Exchange, </w:t>
      </w:r>
      <w:hyperlink r:id="rId70">
        <w:r w:rsidDel="00000000" w:rsidR="00000000" w:rsidRPr="00000000">
          <w:rPr>
            <w:rFonts w:ascii="Arial" w:cs="Arial" w:eastAsia="Arial" w:hAnsi="Arial"/>
            <w:color w:val="0000ee"/>
            <w:sz w:val="24"/>
            <w:szCs w:val="24"/>
            <w:u w:val="single"/>
            <w:rtl w:val="0"/>
          </w:rPr>
          <w:t xml:space="preserve">https://math.stackexchange.com/questions/3354520/holonomy-group-of-m%C3%B6bius-strip</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Topology of Fibre bundles and Global Aspects of Gauge Theories, </w:t>
      </w:r>
      <w:hyperlink r:id="rId71">
        <w:r w:rsidDel="00000000" w:rsidR="00000000" w:rsidRPr="00000000">
          <w:rPr>
            <w:rFonts w:ascii="Arial" w:cs="Arial" w:eastAsia="Arial" w:hAnsi="Arial"/>
            <w:color w:val="0000ee"/>
            <w:sz w:val="24"/>
            <w:szCs w:val="24"/>
            <w:u w:val="single"/>
            <w:rtl w:val="0"/>
          </w:rPr>
          <w:t xml:space="preserve">https://arxiv.org/pdf/hep-th/0611201</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Observation of quantum metric and non-Hermitian Berry curvature in, </w:t>
      </w:r>
      <w:hyperlink r:id="rId72">
        <w:r w:rsidDel="00000000" w:rsidR="00000000" w:rsidRPr="00000000">
          <w:rPr>
            <w:rFonts w:ascii="Arial" w:cs="Arial" w:eastAsia="Arial" w:hAnsi="Arial"/>
            <w:color w:val="0000ee"/>
            <w:sz w:val="24"/>
            <w:szCs w:val="24"/>
            <w:u w:val="single"/>
            <w:rtl w:val="0"/>
          </w:rPr>
          <w:t xml:space="preserve">https://research.aalto.fi/en/publications/observation-of-quantum-metric-and-non-hermitian-berry-curvature-i/</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Failure to Launch in Two-Sided Markets: A Study of the U.S., </w:t>
      </w:r>
      <w:hyperlink r:id="rId73">
        <w:r w:rsidDel="00000000" w:rsidR="00000000" w:rsidRPr="00000000">
          <w:rPr>
            <w:rFonts w:ascii="Arial" w:cs="Arial" w:eastAsia="Arial" w:hAnsi="Arial"/>
            <w:color w:val="0000ee"/>
            <w:sz w:val="24"/>
            <w:szCs w:val="24"/>
            <w:u w:val="single"/>
            <w:rtl w:val="0"/>
          </w:rPr>
          <w:t xml:space="preserve">https://ideas.repec.org/p/pra/mprapa/42002.html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Failure to Launch in Two-Sided Markets: A Study of the U.S. Video, </w:t>
      </w:r>
      <w:hyperlink r:id="rId74">
        <w:r w:rsidDel="00000000" w:rsidR="00000000" w:rsidRPr="00000000">
          <w:rPr>
            <w:rFonts w:ascii="Arial" w:cs="Arial" w:eastAsia="Arial" w:hAnsi="Arial"/>
            <w:color w:val="0000ee"/>
            <w:sz w:val="24"/>
            <w:szCs w:val="24"/>
            <w:u w:val="single"/>
            <w:rtl w:val="0"/>
          </w:rPr>
          <w:t xml:space="preserve">https://mpra.ub.uni-muenchen.de/42002/</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GameFi Marketing Complete Guide: The Transformation from, </w:t>
      </w:r>
      <w:hyperlink r:id="rId75">
        <w:r w:rsidDel="00000000" w:rsidR="00000000" w:rsidRPr="00000000">
          <w:rPr>
            <w:rFonts w:ascii="Arial" w:cs="Arial" w:eastAsia="Arial" w:hAnsi="Arial"/>
            <w:color w:val="0000ee"/>
            <w:sz w:val="24"/>
            <w:szCs w:val="24"/>
            <w:u w:val="single"/>
            <w:rtl w:val="0"/>
          </w:rPr>
          <w:t xml:space="preserve">https://medium.com/@chainpeak/2026-gamefi-marketing-complete-guide-the-transformation-from-play-to-earn-to-play-and-earn-6a292bbd8f23</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On-Chain Gaming Economies Handle Sustainability &amp; Inflation?, </w:t>
      </w:r>
      <w:hyperlink r:id="rId76">
        <w:r w:rsidDel="00000000" w:rsidR="00000000" w:rsidRPr="00000000">
          <w:rPr>
            <w:rFonts w:ascii="Arial" w:cs="Arial" w:eastAsia="Arial" w:hAnsi="Arial"/>
            <w:color w:val="0000ee"/>
            <w:sz w:val="24"/>
            <w:szCs w:val="24"/>
            <w:u w:val="single"/>
            <w:rtl w:val="0"/>
          </w:rPr>
          <w:t xml:space="preserve">https://www.3university.io/sustainability-vs-inflation-in-on-chain-gaming-economies/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Zero-Knowledge Identity? | Chainlink, </w:t>
      </w:r>
      <w:hyperlink r:id="rId77">
        <w:r w:rsidDel="00000000" w:rsidR="00000000" w:rsidRPr="00000000">
          <w:rPr>
            <w:rFonts w:ascii="Arial" w:cs="Arial" w:eastAsia="Arial" w:hAnsi="Arial"/>
            <w:color w:val="0000ee"/>
            <w:sz w:val="24"/>
            <w:szCs w:val="24"/>
            <w:u w:val="single"/>
            <w:rtl w:val="0"/>
          </w:rPr>
          <w:t xml:space="preserve">https://chain.link/article/what-is-zero-knowledge-identity</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Identity-Bound Asset Integrity Model (IBAIM) for Sustainable, </w:t>
      </w:r>
      <w:hyperlink r:id="rId78">
        <w:r w:rsidDel="00000000" w:rsidR="00000000" w:rsidRPr="00000000">
          <w:rPr>
            <w:rFonts w:ascii="Arial" w:cs="Arial" w:eastAsia="Arial" w:hAnsi="Arial"/>
            <w:color w:val="0000ee"/>
            <w:sz w:val="24"/>
            <w:szCs w:val="24"/>
            <w:u w:val="single"/>
            <w:rtl w:val="0"/>
          </w:rPr>
          <w:t xml:space="preserve">https://arxiv.org/abs/2604.20737</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 Knowledge Identity Proof, </w:t>
      </w:r>
      <w:hyperlink r:id="rId79">
        <w:r w:rsidDel="00000000" w:rsidR="00000000" w:rsidRPr="00000000">
          <w:rPr>
            <w:rFonts w:ascii="Arial" w:cs="Arial" w:eastAsia="Arial" w:hAnsi="Arial"/>
            <w:color w:val="0000ee"/>
            <w:sz w:val="24"/>
            <w:szCs w:val="24"/>
            <w:u w:val="single"/>
            <w:rtl w:val="0"/>
          </w:rPr>
          <w:t xml:space="preserve">https://identitymanagementinstitute.org/zero-knowledge-identity-proof/</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Zero-Knowledge Proof-of-Identity: Sybil-Resistant, Anonymous, </w:t>
      </w:r>
      <w:hyperlink r:id="rId80">
        <w:r w:rsidDel="00000000" w:rsidR="00000000" w:rsidRPr="00000000">
          <w:rPr>
            <w:rFonts w:ascii="Arial" w:cs="Arial" w:eastAsia="Arial" w:hAnsi="Arial"/>
            <w:color w:val="0000ee"/>
            <w:sz w:val="24"/>
            <w:szCs w:val="24"/>
            <w:u w:val="single"/>
            <w:rtl w:val="0"/>
          </w:rPr>
          <w:t xml:space="preserve">https://www.researchgate.net/publication/333744128_Zero-Knowledge_Proof-of-Identity_Sybil-Resistant_Anonymous_Authentication_on_Permissionless_Blockchains_and_Incentive_Compatible_Strictly_Dominant_Cryptocurrencies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Zero-Knowledge Proofs (ZKP)? - Identity.org, </w:t>
      </w:r>
      <w:hyperlink r:id="rId81">
        <w:r w:rsidDel="00000000" w:rsidR="00000000" w:rsidRPr="00000000">
          <w:rPr>
            <w:rFonts w:ascii="Arial" w:cs="Arial" w:eastAsia="Arial" w:hAnsi="Arial"/>
            <w:color w:val="0000ee"/>
            <w:sz w:val="24"/>
            <w:szCs w:val="24"/>
            <w:u w:val="single"/>
            <w:rtl w:val="0"/>
          </w:rPr>
          <w:t xml:space="preserve">https://www.identity.org/zero-knowledge-proofs/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Zero-Knowledge Proofs in Digital Identity Systems, </w:t>
      </w:r>
      <w:hyperlink r:id="rId82">
        <w:r w:rsidDel="00000000" w:rsidR="00000000" w:rsidRPr="00000000">
          <w:rPr>
            <w:rFonts w:ascii="Arial" w:cs="Arial" w:eastAsia="Arial" w:hAnsi="Arial"/>
            <w:color w:val="0000ee"/>
            <w:sz w:val="24"/>
            <w:szCs w:val="24"/>
            <w:u w:val="single"/>
            <w:rtl w:val="0"/>
          </w:rPr>
          <w:t xml:space="preserve">https://vidos.id/blog/understanding-zero-knowledge-proofs-in-digital-identity-systems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Zero-knowledge proofs explained in 3 examples - Circularise, </w:t>
      </w:r>
      <w:hyperlink r:id="rId83">
        <w:r w:rsidDel="00000000" w:rsidR="00000000" w:rsidRPr="00000000">
          <w:rPr>
            <w:rFonts w:ascii="Arial" w:cs="Arial" w:eastAsia="Arial" w:hAnsi="Arial"/>
            <w:color w:val="0000ee"/>
            <w:sz w:val="24"/>
            <w:szCs w:val="24"/>
            <w:u w:val="single"/>
            <w:rtl w:val="0"/>
          </w:rPr>
          <w:t xml:space="preserve">https://www.circularise.com/blogs/zero-knowledge-proofs-explained-in-3-examples/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Zero-Knowledge Proof in KYC: Definition, Example, Limits | Zyphe, </w:t>
      </w:r>
      <w:hyperlink r:id="rId84">
        <w:r w:rsidDel="00000000" w:rsidR="00000000" w:rsidRPr="00000000">
          <w:rPr>
            <w:rFonts w:ascii="Arial" w:cs="Arial" w:eastAsia="Arial" w:hAnsi="Arial"/>
            <w:color w:val="0000ee"/>
            <w:sz w:val="24"/>
            <w:szCs w:val="24"/>
            <w:u w:val="single"/>
            <w:rtl w:val="0"/>
          </w:rPr>
          <w:t xml:space="preserve">https://www.zyphe.com/resources/blog/what-is-zero-knowledge-proof-in-kyc-verification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strategic patent portfolio management: an expert-based framework, </w:t>
      </w:r>
      <w:hyperlink r:id="rId85">
        <w:r w:rsidDel="00000000" w:rsidR="00000000" w:rsidRPr="00000000">
          <w:rPr>
            <w:rFonts w:ascii="Arial" w:cs="Arial" w:eastAsia="Arial" w:hAnsi="Arial"/>
            <w:color w:val="0000ee"/>
            <w:sz w:val="24"/>
            <w:szCs w:val="24"/>
            <w:u w:val="single"/>
            <w:rtl w:val="0"/>
          </w:rPr>
          <w:t xml:space="preserve">https://lutpub.lut.fi/bitstream/handle/10024/169544/MastersThesis_Pineda_Katherine.pdf?sequence=3&amp;isAllowed=y</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Radboud Digital Security group Lunch Talk homepage, </w:t>
      </w:r>
      <w:hyperlink r:id="rId86">
        <w:r w:rsidDel="00000000" w:rsidR="00000000" w:rsidRPr="00000000">
          <w:rPr>
            <w:rFonts w:ascii="Arial" w:cs="Arial" w:eastAsia="Arial" w:hAnsi="Arial"/>
            <w:color w:val="0000ee"/>
            <w:sz w:val="24"/>
            <w:szCs w:val="24"/>
            <w:u w:val="single"/>
            <w:rtl w:val="0"/>
          </w:rPr>
          <w:t xml:space="preserve">https://dis.cs.ru.nl/Colloquium</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Microchain: a Light Hierarchical Consensus Protocol for IoT System, </w:t>
      </w:r>
      <w:hyperlink r:id="rId87">
        <w:r w:rsidDel="00000000" w:rsidR="00000000" w:rsidRPr="00000000">
          <w:rPr>
            <w:rFonts w:ascii="Arial" w:cs="Arial" w:eastAsia="Arial" w:hAnsi="Arial"/>
            <w:color w:val="0000ee"/>
            <w:sz w:val="24"/>
            <w:szCs w:val="24"/>
            <w:u w:val="single"/>
            <w:rtl w:val="0"/>
          </w:rPr>
          <w:t xml:space="preserve">https://arxiv.org/html/1912.10357v1</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Trust at Scale: The Economic Limits of Cryptocurrencies and, </w:t>
      </w:r>
      <w:hyperlink r:id="rId88">
        <w:r w:rsidDel="00000000" w:rsidR="00000000" w:rsidRPr="00000000">
          <w:rPr>
            <w:rFonts w:ascii="Arial" w:cs="Arial" w:eastAsia="Arial" w:hAnsi="Arial"/>
            <w:color w:val="0000ee"/>
            <w:sz w:val="24"/>
            <w:szCs w:val="24"/>
            <w:u w:val="single"/>
            <w:rtl w:val="0"/>
          </w:rPr>
          <w:t xml:space="preserve">https://academic.oup.com/qje/article/140/1/1/7824430</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Hellman's Time-Memory Trade-Offs with Applications to, </w:t>
      </w:r>
      <w:hyperlink r:id="rId89">
        <w:r w:rsidDel="00000000" w:rsidR="00000000" w:rsidRPr="00000000">
          <w:rPr>
            <w:rFonts w:ascii="Arial" w:cs="Arial" w:eastAsia="Arial" w:hAnsi="Arial"/>
            <w:color w:val="0000ee"/>
            <w:sz w:val="24"/>
            <w:szCs w:val="24"/>
            <w:u w:val="single"/>
            <w:rtl w:val="0"/>
          </w:rPr>
          <w:t xml:space="preserve">https://www.researchgate.net/publication/321140178_Beyond_Hellman's_Time-Memory_Trade-Offs_with_Applications_to_Proofs_of_Space</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on Consensus Mechanisms and Mining Strategy, </w:t>
      </w:r>
      <w:hyperlink r:id="rId90">
        <w:r w:rsidDel="00000000" w:rsidR="00000000" w:rsidRPr="00000000">
          <w:rPr>
            <w:rFonts w:ascii="Arial" w:cs="Arial" w:eastAsia="Arial" w:hAnsi="Arial"/>
            <w:color w:val="0000ee"/>
            <w:sz w:val="24"/>
            <w:szCs w:val="24"/>
            <w:u w:val="single"/>
            <w:rtl w:val="0"/>
          </w:rPr>
          <w:t xml:space="preserve">https://opus.lib.uts.edu.au/bitstream/10453/133358/1/_system_appendPDF_proof_hi.pdf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Blockchain-Backed Provenance Architecture - Emergent Mind, </w:t>
      </w:r>
      <w:hyperlink r:id="rId91">
        <w:r w:rsidDel="00000000" w:rsidR="00000000" w:rsidRPr="00000000">
          <w:rPr>
            <w:rFonts w:ascii="Arial" w:cs="Arial" w:eastAsia="Arial" w:hAnsi="Arial"/>
            <w:color w:val="0000ee"/>
            <w:sz w:val="24"/>
            <w:szCs w:val="24"/>
            <w:u w:val="single"/>
            <w:rtl w:val="0"/>
          </w:rPr>
          <w:t xml:space="preserve">https://www.emergentmind.com/topics/blockchain-backed-provenance-architecture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Decentralized Content Rights in the Age of Generative AI - arXiv, </w:t>
      </w:r>
      <w:hyperlink r:id="rId92">
        <w:r w:rsidDel="00000000" w:rsidR="00000000" w:rsidRPr="00000000">
          <w:rPr>
            <w:rFonts w:ascii="Arial" w:cs="Arial" w:eastAsia="Arial" w:hAnsi="Arial"/>
            <w:color w:val="0000ee"/>
            <w:sz w:val="24"/>
            <w:szCs w:val="24"/>
            <w:u w:val="single"/>
            <w:rtl w:val="0"/>
          </w:rPr>
          <w:t xml:space="preserve">https://arxiv.org/html/2503.14519v2</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Effectiveness of Multi-Token Economies - ResearchGate, </w:t>
      </w:r>
      <w:hyperlink r:id="rId93">
        <w:r w:rsidDel="00000000" w:rsidR="00000000" w:rsidRPr="00000000">
          <w:rPr>
            <w:rFonts w:ascii="Arial" w:cs="Arial" w:eastAsia="Arial" w:hAnsi="Arial"/>
            <w:color w:val="0000ee"/>
            <w:sz w:val="24"/>
            <w:szCs w:val="24"/>
            <w:u w:val="single"/>
            <w:rtl w:val="0"/>
          </w:rPr>
          <w:t xml:space="preserve">https://www.researchgate.net/publication/334168201_On_the_Effectiveness_of_Multi-Token_Economies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Oasys (OAS): Unpacking the Multi-Layered Framework for, </w:t>
      </w:r>
      <w:hyperlink r:id="rId94">
        <w:r w:rsidDel="00000000" w:rsidR="00000000" w:rsidRPr="00000000">
          <w:rPr>
            <w:rFonts w:ascii="Arial" w:cs="Arial" w:eastAsia="Arial" w:hAnsi="Arial"/>
            <w:color w:val="0000ee"/>
            <w:sz w:val="24"/>
            <w:szCs w:val="24"/>
            <w:u w:val="single"/>
            <w:rtl w:val="0"/>
          </w:rPr>
          <w:t xml:space="preserve">https://financefeeds.com/oasys-oas-unpacking-the-multi-layered-framework-for-blockchain-gaming/</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MIX - Logos LIP, </w:t>
      </w:r>
      <w:hyperlink r:id="rId95">
        <w:r w:rsidDel="00000000" w:rsidR="00000000" w:rsidRPr="00000000">
          <w:rPr>
            <w:rFonts w:ascii="Arial" w:cs="Arial" w:eastAsia="Arial" w:hAnsi="Arial"/>
            <w:color w:val="0000ee"/>
            <w:sz w:val="24"/>
            <w:szCs w:val="24"/>
            <w:u w:val="single"/>
            <w:rtl w:val="0"/>
          </w:rPr>
          <w:t xml:space="preserve">https://dev-lip.logos.co/ift-ts/raw/mix.html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Virtual Inflation under Control: Sustainable Mechanisms for, </w:t>
      </w:r>
      <w:hyperlink r:id="rId96">
        <w:r w:rsidDel="00000000" w:rsidR="00000000" w:rsidRPr="00000000">
          <w:rPr>
            <w:rFonts w:ascii="Arial" w:cs="Arial" w:eastAsia="Arial" w:hAnsi="Arial"/>
            <w:color w:val="0000ee"/>
            <w:sz w:val="24"/>
            <w:szCs w:val="24"/>
            <w:u w:val="single"/>
            <w:rtl w:val="0"/>
          </w:rPr>
          <w:t xml:space="preserve">https://ulopenaccess.com/papers/ULIRS_V03I01/ULIRS20260301_002.pdf</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the Fibonacci Sequence Works Well for Estimating, </w:t>
      </w:r>
      <w:hyperlink r:id="rId97">
        <w:r w:rsidDel="00000000" w:rsidR="00000000" w:rsidRPr="00000000">
          <w:rPr>
            <w:rFonts w:ascii="Arial" w:cs="Arial" w:eastAsia="Arial" w:hAnsi="Arial"/>
            <w:color w:val="0000ee"/>
            <w:sz w:val="24"/>
            <w:szCs w:val="24"/>
            <w:u w:val="single"/>
            <w:rtl w:val="0"/>
          </w:rPr>
          <w:t xml:space="preserve">https://www.mountaingoatsoftware.com/agile/why-the-fibonacci-sequence-works-well-for-estimating</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Fibonacci Sequence Scale for Agile or Scrum Sprint Planning, </w:t>
      </w:r>
      <w:hyperlink r:id="rId98">
        <w:r w:rsidDel="00000000" w:rsidR="00000000" w:rsidRPr="00000000">
          <w:rPr>
            <w:rFonts w:ascii="Arial" w:cs="Arial" w:eastAsia="Arial" w:hAnsi="Arial"/>
            <w:color w:val="0000ee"/>
            <w:sz w:val="24"/>
            <w:szCs w:val="24"/>
            <w:u w:val="single"/>
            <w:rtl w:val="0"/>
          </w:rPr>
          <w:t xml:space="preserve">https://teachingagile.com/scrum/psm-1/scrum-planning-estimation/estimation-techniques/fibonacci-sequence-scale</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Fibonacci sequence - Wikipedia, </w:t>
      </w:r>
      <w:hyperlink r:id="rId99">
        <w:r w:rsidDel="00000000" w:rsidR="00000000" w:rsidRPr="00000000">
          <w:rPr>
            <w:rFonts w:ascii="Arial" w:cs="Arial" w:eastAsia="Arial" w:hAnsi="Arial"/>
            <w:color w:val="0000ee"/>
            <w:sz w:val="24"/>
            <w:szCs w:val="24"/>
            <w:u w:val="single"/>
            <w:rtl w:val="0"/>
          </w:rPr>
          <w:t xml:space="preserve">https://en.wikipedia.org/wiki/Fibonacci_sequence</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Beauty of Math Patterns: Exploring Mathematical Sequences, </w:t>
      </w:r>
      <w:hyperlink r:id="rId100">
        <w:r w:rsidDel="00000000" w:rsidR="00000000" w:rsidRPr="00000000">
          <w:rPr>
            <w:rFonts w:ascii="Arial" w:cs="Arial" w:eastAsia="Arial" w:hAnsi="Arial"/>
            <w:color w:val="0000ee"/>
            <w:sz w:val="24"/>
            <w:szCs w:val="24"/>
            <w:u w:val="single"/>
            <w:rtl w:val="0"/>
          </w:rPr>
          <w:t xml:space="preserve">https://www.mathnasium.com/math-centers/beverlyhillssouth/news/beauty-math-patterns-exploring-mathematical-sequences-mathnasium-beverly-hills-south</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Fibonacci sequence | Definition, Formula, Numbers, Ratio, &amp; Facts, </w:t>
      </w:r>
      <w:hyperlink r:id="rId101">
        <w:r w:rsidDel="00000000" w:rsidR="00000000" w:rsidRPr="00000000">
          <w:rPr>
            <w:rFonts w:ascii="Arial" w:cs="Arial" w:eastAsia="Arial" w:hAnsi="Arial"/>
            <w:color w:val="0000ee"/>
            <w:sz w:val="24"/>
            <w:szCs w:val="24"/>
            <w:u w:val="single"/>
            <w:rtl w:val="0"/>
          </w:rPr>
          <w:t xml:space="preserve">https://www.britannica.com/science/Fibonacci-number</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Fibonacci sequence-based motion profile - PMC, </w:t>
      </w:r>
      <w:hyperlink r:id="rId102">
        <w:r w:rsidDel="00000000" w:rsidR="00000000" w:rsidRPr="00000000">
          <w:rPr>
            <w:rFonts w:ascii="Arial" w:cs="Arial" w:eastAsia="Arial" w:hAnsi="Arial"/>
            <w:color w:val="0000ee"/>
            <w:sz w:val="24"/>
            <w:szCs w:val="24"/>
            <w:u w:val="single"/>
            <w:rtl w:val="0"/>
          </w:rPr>
          <w:t xml:space="preserve">https://pmc.ncbi.nlm.nih.gov/articles/PMC12967360/</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Game-Theoretic Analysis of the Coexistence and Competition, </w:t>
      </w:r>
      <w:hyperlink r:id="rId103">
        <w:r w:rsidDel="00000000" w:rsidR="00000000" w:rsidRPr="00000000">
          <w:rPr>
            <w:rFonts w:ascii="Arial" w:cs="Arial" w:eastAsia="Arial" w:hAnsi="Arial"/>
            <w:color w:val="0000ee"/>
            <w:sz w:val="24"/>
            <w:szCs w:val="24"/>
            <w:u w:val="single"/>
            <w:rtl w:val="0"/>
          </w:rPr>
          <w:t xml:space="preserve">https://www.mdpi.com/2227-7099/13/3/80</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Simulator for the Dual-Token Model in Normal and Panic Scenarios, </w:t>
      </w:r>
      <w:hyperlink r:id="rId104">
        <w:r w:rsidDel="00000000" w:rsidR="00000000" w:rsidRPr="00000000">
          <w:rPr>
            <w:rFonts w:ascii="Arial" w:cs="Arial" w:eastAsia="Arial" w:hAnsi="Arial"/>
            <w:color w:val="0000ee"/>
            <w:sz w:val="24"/>
            <w:szCs w:val="24"/>
            <w:u w:val="single"/>
            <w:rtl w:val="0"/>
          </w:rPr>
          <w:t xml:space="preserve">https://www.researchgate.net/publication/394918245_Algorithmic_Stablecoins_A_Simulator_for_the_Dual-Token_Model_in_Normal_and_Panic_Scenarios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Closed-form solutions of systems of nonlinear difference equations, </w:t>
      </w:r>
      <w:hyperlink r:id="rId105">
        <w:r w:rsidDel="00000000" w:rsidR="00000000" w:rsidRPr="00000000">
          <w:rPr>
            <w:rFonts w:ascii="Arial" w:cs="Arial" w:eastAsia="Arial" w:hAnsi="Arial"/>
            <w:color w:val="0000ee"/>
            <w:sz w:val="24"/>
            <w:szCs w:val="24"/>
            <w:u w:val="single"/>
            <w:rtl w:val="0"/>
          </w:rPr>
          <w:t xml:space="preserve">https://www.sciopen.com/article/10.3934/math.20251120</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Value of Each Fibonacci Number Given in Two Units of, </w:t>
      </w:r>
      <w:hyperlink r:id="rId106">
        <w:r w:rsidDel="00000000" w:rsidR="00000000" w:rsidRPr="00000000">
          <w:rPr>
            <w:rFonts w:ascii="Arial" w:cs="Arial" w:eastAsia="Arial" w:hAnsi="Arial"/>
            <w:color w:val="0000ee"/>
            <w:sz w:val="24"/>
            <w:szCs w:val="24"/>
            <w:u w:val="single"/>
            <w:rtl w:val="0"/>
          </w:rPr>
          <w:t xml:space="preserve">https://www.researchgate.net/figure/The-Value-of-Each-Fibonacci-Number-Given-in-Two-Units-of-Measurement_tbl1_335313110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ra.ucc.ie/bitstreams/daf7add2-7597-4f0d-bf05-86ef2b0fc8a0/download" TargetMode="External"/><Relationship Id="rId42" Type="http://schemas.openxmlformats.org/officeDocument/2006/relationships/hyperlink" Target="https://philosophy.stackexchange.com/questions/94909/kants-transcendental-apperception-and-ipseity-in-phenomenology" TargetMode="External"/><Relationship Id="rId41" Type="http://schemas.openxmlformats.org/officeDocument/2006/relationships/hyperlink" Target="https://www.academia.edu/35254252/The_Ipseity_Question_Descombes_and_Heidegger" TargetMode="External"/><Relationship Id="rId44" Type="http://schemas.openxmlformats.org/officeDocument/2006/relationships/hyperlink" Target="https://www.researchgate.net/publication/328953080_Aequitas_A_Bias_and_Fairness_Audit_Toolkit" TargetMode="External"/><Relationship Id="rId43" Type="http://schemas.openxmlformats.org/officeDocument/2006/relationships/hyperlink" Target="https://www.researchgate.net/publication/200027560_Subjectivity_and_Selfhood_Investigating_the_First-Person_Perspective" TargetMode="External"/><Relationship Id="rId46" Type="http://schemas.openxmlformats.org/officeDocument/2006/relationships/hyperlink" Target="https://digitalaequitas.ro/" TargetMode="External"/><Relationship Id="rId45" Type="http://schemas.openxmlformats.org/officeDocument/2006/relationships/hyperlink" Target="https://censinet.com/perspectives/governing-machine-ai-governance-framework-patients-innovation" TargetMode="External"/><Relationship Id="rId106" Type="http://schemas.openxmlformats.org/officeDocument/2006/relationships/hyperlink" Target="https://www.researchgate.net/figure/The-Value-of-Each-Fibonacci-Number-Given-in-Two-Units-of-Measurement_tbl1_335313110" TargetMode="External"/><Relationship Id="rId105" Type="http://schemas.openxmlformats.org/officeDocument/2006/relationships/hyperlink" Target="https://www.sciopen.com/article/10.3934/math.20251120" TargetMode="External"/><Relationship Id="rId104" Type="http://schemas.openxmlformats.org/officeDocument/2006/relationships/hyperlink" Target="https://www.researchgate.net/publication/394918245_Algorithmic_Stablecoins_A_Simulator_for_the_Dual-Token_Model_in_Normal_and_Panic_Scenarios" TargetMode="External"/><Relationship Id="rId48" Type="http://schemas.openxmlformats.org/officeDocument/2006/relationships/hyperlink" Target="https://arxiv.org/pdf/2509.11332" TargetMode="External"/><Relationship Id="rId47" Type="http://schemas.openxmlformats.org/officeDocument/2006/relationships/hyperlink" Target="https://tetrate.io/learn/ai/ai-governance-frameworks" TargetMode="External"/><Relationship Id="rId49" Type="http://schemas.openxmlformats.org/officeDocument/2006/relationships/hyperlink" Target="https://www.researchgate.net/publication/399533938_A_Cryptographic_and_Semantic_Framework_for_Provenance_Trust_and_Verification_of_Digital_Knowledge_Artifacts" TargetMode="External"/><Relationship Id="rId103" Type="http://schemas.openxmlformats.org/officeDocument/2006/relationships/hyperlink" Target="https://www.mdpi.com/2227-7099/13/3/80" TargetMode="External"/><Relationship Id="rId102" Type="http://schemas.openxmlformats.org/officeDocument/2006/relationships/hyperlink" Target="https://pmc.ncbi.nlm.nih.gov/articles/PMC12967360/" TargetMode="External"/><Relationship Id="rId101" Type="http://schemas.openxmlformats.org/officeDocument/2006/relationships/hyperlink" Target="https://www.britannica.com/science/Fibonacci-number" TargetMode="External"/><Relationship Id="rId100" Type="http://schemas.openxmlformats.org/officeDocument/2006/relationships/hyperlink" Target="https://www.mathnasium.com/math-centers/beverlyhillssouth/news/beauty-math-patterns-exploring-mathematical-sequences-mathnasium-beverly-hills-south" TargetMode="External"/><Relationship Id="rId31" Type="http://schemas.openxmlformats.org/officeDocument/2006/relationships/hyperlink" Target="https://www.redhat.com/en/topics/security/spiffe-and-spire" TargetMode="External"/><Relationship Id="rId30" Type="http://schemas.openxmlformats.org/officeDocument/2006/relationships/hyperlink" Target="https://arxiv.org/pdf/2604.20737" TargetMode="External"/><Relationship Id="rId33" Type="http://schemas.openxmlformats.org/officeDocument/2006/relationships/hyperlink" Target="https://www.spletzer.com/2025/03/zero-to-trusted-spiffe-and-spire-demystified/" TargetMode="External"/><Relationship Id="rId32" Type="http://schemas.openxmlformats.org/officeDocument/2006/relationships/hyperlink" Target="https://blog.ogwilliam.com/post/spiffe-spire-explained" TargetMode="External"/><Relationship Id="rId35" Type="http://schemas.openxmlformats.org/officeDocument/2006/relationships/hyperlink" Target="https://spiffe.io/" TargetMode="External"/><Relationship Id="rId34" Type="http://schemas.openxmlformats.org/officeDocument/2006/relationships/hyperlink" Target="https://spiffe.io/docs/latest/spiffe-specs/spiffe-id/" TargetMode="External"/><Relationship Id="rId37" Type="http://schemas.openxmlformats.org/officeDocument/2006/relationships/hyperlink" Target="https://www.cockroachlabs.com/blog/zero-trust-database-authentication-spiffe-spire/" TargetMode="External"/><Relationship Id="rId36" Type="http://schemas.openxmlformats.org/officeDocument/2006/relationships/hyperlink" Target="https://www.hashicorp.com/en/blog/spiffe-securing-the-identity-of-agentic-ai-and-non-human-actors" TargetMode="External"/><Relationship Id="rId39" Type="http://schemas.openxmlformats.org/officeDocument/2006/relationships/hyperlink" Target="https://philpeople.org/profiles/ian-william-van-eenennaam" TargetMode="External"/><Relationship Id="rId38" Type="http://schemas.openxmlformats.org/officeDocument/2006/relationships/hyperlink" Target="https://scispace.com/pdf/explanation-and-description-in-phenomenological-3x2gaboyi7.pdf" TargetMode="External"/><Relationship Id="rId20" Type="http://schemas.openxmlformats.org/officeDocument/2006/relationships/hyperlink" Target="https://airavata.apache.org/custos/" TargetMode="External"/><Relationship Id="rId22" Type="http://schemas.openxmlformats.org/officeDocument/2006/relationships/hyperlink" Target="https://www.researchgate.net/publication/343223170_Custos_Security_Middleware_for_Science_Gateways" TargetMode="External"/><Relationship Id="rId21" Type="http://schemas.openxmlformats.org/officeDocument/2006/relationships/hyperlink" Target="https://www.semanticscholar.org/paper/Custos%3A-Security-Middleware-for-Science-Gateways-Ranawaka-Marru/94929b68b34fc9b022481fc6e54d73fcdf01ba55" TargetMode="External"/><Relationship Id="rId24" Type="http://schemas.openxmlformats.org/officeDocument/2006/relationships/hyperlink" Target="https://zenodo.org/records/14031569" TargetMode="External"/><Relationship Id="rId23" Type="http://schemas.openxmlformats.org/officeDocument/2006/relationships/hyperlink" Target="https://www.emergentmind.com/topics/science-gateway" TargetMode="External"/><Relationship Id="rId26" Type="http://schemas.openxmlformats.org/officeDocument/2006/relationships/hyperlink" Target="https://arxiv.org/html/2608.17068v2" TargetMode="External"/><Relationship Id="rId25" Type="http://schemas.openxmlformats.org/officeDocument/2006/relationships/hyperlink" Target="https://www.escience2021.org/tutorials" TargetMode="External"/><Relationship Id="rId28" Type="http://schemas.openxmlformats.org/officeDocument/2006/relationships/hyperlink" Target="https://arxiv.org/pdf/1410.2594" TargetMode="External"/><Relationship Id="rId27" Type="http://schemas.openxmlformats.org/officeDocument/2006/relationships/hyperlink" Target="https://arxiv.org/html/2605.17410v1" TargetMode="External"/><Relationship Id="rId29" Type="http://schemas.openxmlformats.org/officeDocument/2006/relationships/hyperlink" Target="https://arxiv.org/html/2110.13024v1" TargetMode="External"/><Relationship Id="rId95" Type="http://schemas.openxmlformats.org/officeDocument/2006/relationships/hyperlink" Target="https://dev-lip.logos.co/ift-ts/raw/mix.html" TargetMode="External"/><Relationship Id="rId94" Type="http://schemas.openxmlformats.org/officeDocument/2006/relationships/hyperlink" Target="https://financefeeds.com/oasys-oas-unpacking-the-multi-layered-framework-for-blockchain-gaming/" TargetMode="External"/><Relationship Id="rId97" Type="http://schemas.openxmlformats.org/officeDocument/2006/relationships/hyperlink" Target="https://www.mountaingoatsoftware.com/agile/why-the-fibonacci-sequence-works-well-for-estimating" TargetMode="External"/><Relationship Id="rId96" Type="http://schemas.openxmlformats.org/officeDocument/2006/relationships/hyperlink" Target="https://ulopenaccess.com/papers/ULIRS_V03I01/ULIRS20260301_002.pdf" TargetMode="External"/><Relationship Id="rId11" Type="http://schemas.openxmlformats.org/officeDocument/2006/relationships/image" Target="media/image5.png"/><Relationship Id="rId99" Type="http://schemas.openxmlformats.org/officeDocument/2006/relationships/hyperlink" Target="https://en.wikipedia.org/wiki/Fibonacci_sequence" TargetMode="External"/><Relationship Id="rId10" Type="http://schemas.openxmlformats.org/officeDocument/2006/relationships/image" Target="media/image2.png"/><Relationship Id="rId98" Type="http://schemas.openxmlformats.org/officeDocument/2006/relationships/hyperlink" Target="https://teachingagile.com/scrum/psm-1/scrum-planning-estimation/estimation-techniques/fibonacci-sequence-scale" TargetMode="External"/><Relationship Id="rId13" Type="http://schemas.openxmlformats.org/officeDocument/2006/relationships/image" Target="media/image10.png"/><Relationship Id="rId12" Type="http://schemas.openxmlformats.org/officeDocument/2006/relationships/image" Target="media/image12.png"/><Relationship Id="rId91" Type="http://schemas.openxmlformats.org/officeDocument/2006/relationships/hyperlink" Target="https://www.emergentmind.com/topics/blockchain-backed-provenance-architecture" TargetMode="External"/><Relationship Id="rId90" Type="http://schemas.openxmlformats.org/officeDocument/2006/relationships/hyperlink" Target="https://opus.lib.uts.edu.au/bitstream/10453/133358/1/_system_appendPDF_proof_hi.pdf" TargetMode="External"/><Relationship Id="rId93" Type="http://schemas.openxmlformats.org/officeDocument/2006/relationships/hyperlink" Target="https://www.researchgate.net/publication/334168201_On_the_Effectiveness_of_Multi-Token_Economies" TargetMode="External"/><Relationship Id="rId92" Type="http://schemas.openxmlformats.org/officeDocument/2006/relationships/hyperlink" Target="https://arxiv.org/html/2503.14519v2" TargetMode="External"/><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hyperlink" Target="https://sc21.supercomputing.org/proceedings/workshops/workshop_pages/ws_hust103.html" TargetMode="External"/><Relationship Id="rId18" Type="http://schemas.openxmlformats.org/officeDocument/2006/relationships/hyperlink" Target="https://github.com/apache/airavata-custos/blob/master/README.md" TargetMode="External"/><Relationship Id="rId84" Type="http://schemas.openxmlformats.org/officeDocument/2006/relationships/hyperlink" Target="https://www.zyphe.com/resources/blog/what-is-zero-knowledge-proof-in-kyc-verification" TargetMode="External"/><Relationship Id="rId83" Type="http://schemas.openxmlformats.org/officeDocument/2006/relationships/hyperlink" Target="https://www.circularise.com/blogs/zero-knowledge-proofs-explained-in-3-examples/" TargetMode="External"/><Relationship Id="rId86" Type="http://schemas.openxmlformats.org/officeDocument/2006/relationships/hyperlink" Target="https://dis.cs.ru.nl/Colloquium" TargetMode="External"/><Relationship Id="rId85" Type="http://schemas.openxmlformats.org/officeDocument/2006/relationships/hyperlink" Target="https://lutpub.lut.fi/bitstream/handle/10024/169544/MastersThesis_Pineda_Katherine.pdf?sequence=3&amp;isAllowed=y" TargetMode="External"/><Relationship Id="rId88" Type="http://schemas.openxmlformats.org/officeDocument/2006/relationships/hyperlink" Target="https://academic.oup.com/qje/article/140/1/1/7824430" TargetMode="External"/><Relationship Id="rId87" Type="http://schemas.openxmlformats.org/officeDocument/2006/relationships/hyperlink" Target="https://arxiv.org/html/1912.10357v1" TargetMode="External"/><Relationship Id="rId89" Type="http://schemas.openxmlformats.org/officeDocument/2006/relationships/hyperlink" Target="https://www.researchgate.net/publication/321140178_Beyond_Hellman's_Time-Memory_Trade-Offs_with_Applications_to_Proofs_of_Space" TargetMode="External"/><Relationship Id="rId80" Type="http://schemas.openxmlformats.org/officeDocument/2006/relationships/hyperlink" Target="https://www.researchgate.net/publication/333744128_Zero-Knowledge_Proof-of-Identity_Sybil-Resistant_Anonymous_Authentication_on_Permissionless_Blockchains_and_Incentive_Compatible_Strictly_Dominant_Cryptocurrencies" TargetMode="External"/><Relationship Id="rId82" Type="http://schemas.openxmlformats.org/officeDocument/2006/relationships/hyperlink" Target="https://vidos.id/blog/understanding-zero-knowledge-proofs-in-digital-identity-systems" TargetMode="External"/><Relationship Id="rId81" Type="http://schemas.openxmlformats.org/officeDocument/2006/relationships/hyperlink" Target="https://www.identity.org/zero-knowledge-proo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73" Type="http://schemas.openxmlformats.org/officeDocument/2006/relationships/hyperlink" Target="https://ideas.repec.org/p/pra/mprapa/42002.html" TargetMode="External"/><Relationship Id="rId72" Type="http://schemas.openxmlformats.org/officeDocument/2006/relationships/hyperlink" Target="https://research.aalto.fi/en/publications/observation-of-quantum-metric-and-non-hermitian-berry-curvature-i/" TargetMode="External"/><Relationship Id="rId75" Type="http://schemas.openxmlformats.org/officeDocument/2006/relationships/hyperlink" Target="https://medium.com/@chainpeak/2026-gamefi-marketing-complete-guide-the-transformation-from-play-to-earn-to-play-and-earn-6a292bbd8f23" TargetMode="External"/><Relationship Id="rId74" Type="http://schemas.openxmlformats.org/officeDocument/2006/relationships/hyperlink" Target="https://mpra.ub.uni-muenchen.de/42002/" TargetMode="External"/><Relationship Id="rId77" Type="http://schemas.openxmlformats.org/officeDocument/2006/relationships/hyperlink" Target="https://chain.link/article/what-is-zero-knowledge-identity" TargetMode="External"/><Relationship Id="rId76" Type="http://schemas.openxmlformats.org/officeDocument/2006/relationships/hyperlink" Target="https://www.3university.io/sustainability-vs-inflation-in-on-chain-gaming-economies/" TargetMode="External"/><Relationship Id="rId79" Type="http://schemas.openxmlformats.org/officeDocument/2006/relationships/hyperlink" Target="https://identitymanagementinstitute.org/zero-knowledge-identity-proof/" TargetMode="External"/><Relationship Id="rId78" Type="http://schemas.openxmlformats.org/officeDocument/2006/relationships/hyperlink" Target="https://arxiv.org/abs/2604.20737" TargetMode="External"/><Relationship Id="rId71" Type="http://schemas.openxmlformats.org/officeDocument/2006/relationships/hyperlink" Target="https://arxiv.org/pdf/hep-th/0611201" TargetMode="External"/><Relationship Id="rId70" Type="http://schemas.openxmlformats.org/officeDocument/2006/relationships/hyperlink" Target="https://math.stackexchange.com/questions/3354520/holonomy-group-of-m%C3%B6bius-strip" TargetMode="External"/><Relationship Id="rId62" Type="http://schemas.openxmlformats.org/officeDocument/2006/relationships/hyperlink" Target="https://www.mdpi.com/2073-8994/17/6/807" TargetMode="External"/><Relationship Id="rId61" Type="http://schemas.openxmlformats.org/officeDocument/2006/relationships/hyperlink" Target="https://arxiv.org/html/2603.13979v1" TargetMode="External"/><Relationship Id="rId64" Type="http://schemas.openxmlformats.org/officeDocument/2006/relationships/hyperlink" Target="https://www.researchgate.net/publication/366526348_Experimental_observation_of_Berry_phases_in_optical_Mobius-strip_microcavities" TargetMode="External"/><Relationship Id="rId63" Type="http://schemas.openxmlformats.org/officeDocument/2006/relationships/hyperlink" Target="https://arxiv.org/html/2512.07264v2" TargetMode="External"/><Relationship Id="rId66" Type="http://schemas.openxmlformats.org/officeDocument/2006/relationships/hyperlink" Target="https://arxiv.org/pdf/2607.05591" TargetMode="External"/><Relationship Id="rId65" Type="http://schemas.openxmlformats.org/officeDocument/2006/relationships/hyperlink" Target="https://www.researchgate.net/publication/354960574_Wilson_loop_and_Wilczek-Zee_phase_from_a_non-Abelian_gauge_field" TargetMode="External"/><Relationship Id="rId68" Type="http://schemas.openxmlformats.org/officeDocument/2006/relationships/hyperlink" Target="https://www.researchgate.net/figure/The-Moebius-strip-is-a-fibre-bundle-with-fibre-I-base-S-1-and-structure-group-Z-2-The_fig3_324623421" TargetMode="External"/><Relationship Id="rId67" Type="http://schemas.openxmlformats.org/officeDocument/2006/relationships/hyperlink" Target="https://www.scribd.com/document/902117348/Mobius-Bundle-1" TargetMode="External"/><Relationship Id="rId60" Type="http://schemas.openxmlformats.org/officeDocument/2006/relationships/hyperlink" Target="https://arxiv.org/html/2505.15609v1" TargetMode="External"/><Relationship Id="rId69" Type="http://schemas.openxmlformats.org/officeDocument/2006/relationships/hyperlink" Target="https://jaslam.wordpress.ncsu.edu/files/2020/08/Mobius_Bundle-1.pdf" TargetMode="External"/><Relationship Id="rId51" Type="http://schemas.openxmlformats.org/officeDocument/2006/relationships/hyperlink" Target="https://www.researchgate.net/publication/396522953_The_Entanglement_Heat_Premium_A_Fundamental_Thermodynamic_Cost_for_Erasing_Quantum_Correlations" TargetMode="External"/><Relationship Id="rId50" Type="http://schemas.openxmlformats.org/officeDocument/2006/relationships/hyperlink" Target="https://openresearch.surrey.ac.uk/view/pdfCoverPage?instCode=44SUR_INST&amp;filePid=13236897000002346&amp;download=true" TargetMode="External"/><Relationship Id="rId53" Type="http://schemas.openxmlformats.org/officeDocument/2006/relationships/hyperlink" Target="https://www.researchgate.net/publication/400515377_Renormalization_of_Spacetime_Dimension" TargetMode="External"/><Relationship Id="rId52" Type="http://schemas.openxmlformats.org/officeDocument/2006/relationships/hyperlink" Target="https://arxiv.org/html/1604.03749v1" TargetMode="External"/><Relationship Id="rId55" Type="http://schemas.openxmlformats.org/officeDocument/2006/relationships/hyperlink" Target="https://www.sesajad.me/res/things/holonomy/holonomy.pdf" TargetMode="External"/><Relationship Id="rId54" Type="http://schemas.openxmlformats.org/officeDocument/2006/relationships/hyperlink" Target="https://www.physicsforums.com/threads/fibre-bundle-structure-of-the-mobius-band.580101/" TargetMode="External"/><Relationship Id="rId57" Type="http://schemas.openxmlformats.org/officeDocument/2006/relationships/hyperlink" Target="https://arxiv.org/abs/2503.13604" TargetMode="External"/><Relationship Id="rId56" Type="http://schemas.openxmlformats.org/officeDocument/2006/relationships/hyperlink" Target="https://arxiv.org/html/2605.20900v1" TargetMode="External"/><Relationship Id="rId59" Type="http://schemas.openxmlformats.org/officeDocument/2006/relationships/hyperlink" Target="https://arxiv.org/pdf/2505.15609" TargetMode="External"/><Relationship Id="rId58" Type="http://schemas.openxmlformats.org/officeDocument/2006/relationships/hyperlink" Target="https://www.researchgate.net/publication/361206524_Experimental_Observation_of_Berry_Phases_in_Optical_Moebius-strip_Microca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