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mc:Ignorable="w14 w15 w16se w16cid w16 w16cex w16sdtdh w16sdtfl w16du wp14">
  <w:body>
    <w:p>
      <w:pPr>
        <w:rPr>
          <w:rFonts w:cs="Arial"/>
          <w:szCs w:val="22"/>
        </w:rPr>
      </w:pPr>
      <w:r>
        <w:rPr>
          <w:b/>
          <w:bCs/>
          <w:szCs w:val="22"/>
        </w:rPr>
        <w:t>Module one: Contributions to the generation of new ideas, tools, methodologies or knowledge</w:t>
      </w:r>
    </w:p>
    <w:p>
      <w:pPr>
        <w:pStyle w:val="NormalWeb"/>
        <w:rPr>
          <w:sz w:val="22"/>
          <w:szCs w:val="22"/>
        </w:rPr>
      </w:pPr>
      <w:r>
        <w:rPr>
          <w:sz w:val="22"/>
          <w:szCs w:val="22"/>
        </w:rPr>
        <w:t>Fred has contributed to the generation of new tools, methodologies and reusable research outputs through the design and development of scalable research data infrastructures across agriculture, health and AI-enabled research. His work focuses on turning complex research data into structured, interoperable resources that support analysis, reuse and evidence-based discovery.</w:t>
      </w:r>
    </w:p>
    <w:p>
      <w:pPr>
        <w:pStyle w:val="NormalWeb"/>
        <w:rPr>
          <w:sz w:val="22"/>
          <w:szCs w:val="22"/>
        </w:rPr>
      </w:pPr>
      <w:r>
        <w:rPr>
          <w:sz w:val="22"/>
          <w:szCs w:val="22"/>
        </w:rPr>
        <w:t>Through the Grassroots Data Infrastructure System, he has developed and enhanced methods for collecting, standardising and sharing crop field trial data using established ontologies and community-driven standards. The platform has supported the representation of field trial data from more than 15 research locations and enabled the analysis and reuse of over eight years of phenotypic datasets, contributing practical tools and knowledge for wheat research and crop improvement.</w:t>
      </w:r>
    </w:p>
    <w:p>
      <w:pPr>
        <w:pStyle w:val="NormalWeb"/>
        <w:rPr>
          <w:sz w:val="22"/>
          <w:szCs w:val="22"/>
        </w:rPr>
      </w:pPr>
      <w:r>
        <w:rPr>
          <w:sz w:val="22"/>
          <w:szCs w:val="22"/>
        </w:rPr>
        <w:t>He also led the development of a Demographic Surveillance System at the Medical Research Council Unit, The Gambia, at the London School of Hygiene and Tropical Medicine. This created a robust platform for collecting, managing and analysing longitudinal population health data, strengthening research workflows and supporting the generation of public health knowledge.</w:t>
      </w:r>
    </w:p>
    <w:p>
      <w:pPr>
        <w:pStyle w:val="NormalWeb"/>
        <w:rPr>
          <w:sz w:val="22"/>
          <w:szCs w:val="22"/>
        </w:rPr>
      </w:pPr>
      <w:r>
        <w:rPr>
          <w:sz w:val="22"/>
          <w:szCs w:val="22"/>
        </w:rPr>
        <w:t>At Oxford Brookes University, he collaborated with IT Services to develop institutional guidance on the use of AI, identifying appropriate tools and best practices to support ethical and effective adoption of AI in teaching, learning and research. These contributions demonstrate his ability to produce practical methodologies that improve research automation, data management and responsible digital innovation.</w:t>
      </w:r>
    </w:p>
    <w:p/>
    <w:p>
      <w:pPr>
        <w:rPr>
          <w:rFonts w:cs="Arial"/>
          <w:szCs w:val="22"/>
        </w:rPr>
      </w:pPr>
      <w:r>
        <w:rPr>
          <w:b/>
          <w:bCs/>
          <w:szCs w:val="22"/>
        </w:rPr>
        <w:t>Module three: Contributions to the wider research and innovation community</w:t>
      </w:r>
    </w:p>
    <w:p>
      <w:pPr>
        <w:pStyle w:val="NormalWeb"/>
        <w:rPr>
          <w:sz w:val="22"/>
          <w:szCs w:val="22"/>
        </w:rPr>
      </w:pPr>
      <w:r>
        <w:rPr>
          <w:sz w:val="22"/>
          <w:szCs w:val="22"/>
        </w:rPr>
        <w:t>Fred has contributed to the wider research and innovation community by sharing research-infrastructure practice, supporting FAIR data approaches and participating in activities that improve the quality and visibility of research software and data systems. His community-facing work is centred on standards, exchange, review and reusable practice rather than on the technical development of individual systems.</w:t>
      </w:r>
    </w:p>
    <w:p>
      <w:pPr>
        <w:pStyle w:val="NormalWeb"/>
        <w:rPr>
          <w:sz w:val="22"/>
          <w:szCs w:val="22"/>
        </w:rPr>
      </w:pPr>
      <w:r>
        <w:rPr>
          <w:sz w:val="22"/>
          <w:szCs w:val="22"/>
        </w:rPr>
        <w:t>At the Earlham Institute, he has contributed to community-oriented data practices through the Grassroots Data Infrastructure platform, supporting improved capture, quality and interoperability of crop phenotypic data for wider research reuse. His work helps align agricultural data infrastructure with shared standards and reusable research practice across the plant science and wheat research communities.</w:t>
      </w:r>
    </w:p>
    <w:p>
      <w:pPr>
        <w:pStyle w:val="NormalWeb"/>
        <w:rPr>
          <w:sz w:val="22"/>
          <w:szCs w:val="22"/>
        </w:rPr>
      </w:pPr>
      <w:r>
        <w:rPr>
          <w:sz w:val="22"/>
          <w:szCs w:val="22"/>
        </w:rPr>
        <w:t>He has engaged with international research communities through poster presentations and talks at events including the Deep Learning Indaba and BioFAIR Showcase. These activities promoted discussion and knowledge exchange around research infrastructure, AI-enabled research and FAIR data practice.</w:t>
      </w:r>
    </w:p>
    <w:p>
      <w:pPr>
        <w:pStyle w:val="NormalWeb"/>
        <w:rPr>
          <w:sz w:val="22"/>
          <w:szCs w:val="22"/>
        </w:rPr>
      </w:pPr>
      <w:r>
        <w:rPr>
          <w:sz w:val="22"/>
          <w:szCs w:val="22"/>
        </w:rPr>
        <w:t>He has also contributed to the research software engineering community through peer-review activities for RSECon26 and collaborated with the Delivering Sustainable Wheat community to strengthen agricultural data sharing and integration. These commitments demonstrate contribution to community quality, shared infrastructure and the development of research agendas around reusable data and software.</w:t>
      </w:r>
    </w:p>
    <w:p/>
    <w:p>
      <w:pPr>
        <w:rPr>
          <w:rFonts w:cs="Arial"/>
          <w:szCs w:val="22"/>
        </w:rPr>
      </w:pPr>
      <w:r>
        <w:rPr>
          <w:b/>
          <w:bCs/>
          <w:szCs w:val="22"/>
        </w:rPr>
        <w:t>Module four: Contributions to broader research or innovation users and audiences and towards wider societal benefit</w:t>
      </w:r>
    </w:p>
    <w:p>
      <w:pPr>
        <w:pStyle w:val="NormalWeb"/>
        <w:rPr>
          <w:sz w:val="22"/>
          <w:szCs w:val="22"/>
        </w:rPr>
      </w:pPr>
      <w:r>
        <w:rPr>
          <w:sz w:val="22"/>
          <w:szCs w:val="22"/>
        </w:rPr>
        <w:t>Fred has supported research infrastructures whose outputs can be used by broader audiences beyond the immediate technical teams, particularly in agriculture and public health. His work has helped ensure that research data can be applied by users who need reliable evidence for decisions, planning and practical interventions.</w:t>
      </w:r>
    </w:p>
    <w:p>
      <w:pPr>
        <w:pStyle w:val="NormalWeb"/>
        <w:rPr>
          <w:sz w:val="22"/>
          <w:szCs w:val="22"/>
        </w:rPr>
      </w:pPr>
      <w:r>
        <w:rPr>
          <w:sz w:val="22"/>
          <w:szCs w:val="22"/>
        </w:rPr>
        <w:t>The Grassroots Data Infrastructure has helped make crop field trial and wheat research data more accessible to researchers, plant breeders and agricultural stakeholders. By improving the quality, consistency and availability of agricultural data, the work supports evidence-based decision-making for crop improvement, sustainable farming practices and the development of climate-resilient crop varieties.</w:t>
      </w:r>
    </w:p>
    <w:p>
      <w:pPr>
        <w:pStyle w:val="NormalWeb"/>
        <w:rPr>
          <w:sz w:val="22"/>
          <w:szCs w:val="22"/>
        </w:rPr>
      </w:pPr>
      <w:r>
        <w:rPr>
          <w:sz w:val="22"/>
          <w:szCs w:val="22"/>
        </w:rPr>
        <w:t>His contribution to demographic surveillance infrastructure has supported the systematic use of population health data by researchers and public health stakeholders. The resulting evidence base can inform public health policy, disease surveillance, health interventions and healthcare planning, contributing to better health outcomes for communities.</w:t>
      </w:r>
    </w:p>
    <w:p>
      <w:pPr>
        <w:pStyle w:val="NormalWeb"/>
        <w:rPr>
          <w:sz w:val="22"/>
          <w:szCs w:val="22"/>
        </w:rPr>
      </w:pPr>
      <w:r>
        <w:rPr>
          <w:sz w:val="22"/>
          <w:szCs w:val="22"/>
        </w:rPr>
        <w:t>Across these contributions, Fred has helped bridge research infrastructure and real-world application, enabling high-quality data to be used by researchers, policymakers and practitioners addressing societal challenges in sustainable agriculture, food security and public health.</w:t>
      </w:r>
    </w:p>
    <w:sectPr w:rsidR="001477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43A"/>
    <w:rsid w:val="0014771A"/>
    <w:rsid w:val="001F049A"/>
    <w:rsid w:val="0035143A"/>
    <w:rsid w:val="0042026F"/>
    <w:rsid w:val="00496CD6"/>
    <w:rsid w:val="004F02DC"/>
    <w:rsid w:val="006B6FED"/>
    <w:rsid w:val="008C10CE"/>
    <w:rsid w:val="008D6D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39F853E"/>
  <w15:chartTrackingRefBased/>
  <w15:docId w15:val="{67E43B02-99BB-BD40-B1D8-936075371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43A"/>
    <w:pPr>
      <w:spacing w:after="0" w:line="240" w:lineRule="auto"/>
    </w:pPr>
    <w:rPr>
      <w:rFonts w:ascii="Arial" w:eastAsia="Times New Roman" w:hAnsi="Arial" w:cs="Times New Roman"/>
      <w:kern w:val="0"/>
      <w:sz w:val="22"/>
      <w:szCs w:val="20"/>
      <w:lang w:eastAsia="en-GB"/>
      <w14:ligatures w14:val="none"/>
    </w:rPr>
  </w:style>
  <w:style w:type="paragraph" w:styleId="Heading1">
    <w:name w:val="heading 1"/>
    <w:basedOn w:val="Normal"/>
    <w:next w:val="Normal"/>
    <w:link w:val="Heading1Char"/>
    <w:uiPriority w:val="9"/>
    <w:qFormat/>
    <w:rsid w:val="0035143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35143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5143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5143A"/>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35143A"/>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35143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35143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35143A"/>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35143A"/>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43A"/>
    <w:rPr>
      <w:rFonts w:eastAsiaTheme="majorEastAsia" w:cstheme="majorBidi"/>
      <w:color w:val="272727" w:themeColor="text1" w:themeTint="D8"/>
    </w:rPr>
  </w:style>
  <w:style w:type="paragraph" w:styleId="Title">
    <w:name w:val="Title"/>
    <w:basedOn w:val="Normal"/>
    <w:next w:val="Normal"/>
    <w:link w:val="TitleChar"/>
    <w:uiPriority w:val="10"/>
    <w:qFormat/>
    <w:rsid w:val="0035143A"/>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51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43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51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43A"/>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35143A"/>
    <w:rPr>
      <w:i/>
      <w:iCs/>
      <w:color w:val="404040" w:themeColor="text1" w:themeTint="BF"/>
    </w:rPr>
  </w:style>
  <w:style w:type="paragraph" w:styleId="ListParagraph">
    <w:name w:val="List Paragraph"/>
    <w:basedOn w:val="Normal"/>
    <w:uiPriority w:val="34"/>
    <w:qFormat/>
    <w:rsid w:val="0035143A"/>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35143A"/>
    <w:rPr>
      <w:i/>
      <w:iCs/>
      <w:color w:val="0F4761" w:themeColor="accent1" w:themeShade="BF"/>
    </w:rPr>
  </w:style>
  <w:style w:type="paragraph" w:styleId="IntenseQuote">
    <w:name w:val="Intense Quote"/>
    <w:basedOn w:val="Normal"/>
    <w:next w:val="Normal"/>
    <w:link w:val="IntenseQuoteChar"/>
    <w:uiPriority w:val="30"/>
    <w:qFormat/>
    <w:rsid w:val="0035143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35143A"/>
    <w:rPr>
      <w:i/>
      <w:iCs/>
      <w:color w:val="0F4761" w:themeColor="accent1" w:themeShade="BF"/>
    </w:rPr>
  </w:style>
  <w:style w:type="character" w:styleId="IntenseReference">
    <w:name w:val="Intense Reference"/>
    <w:basedOn w:val="DefaultParagraphFont"/>
    <w:uiPriority w:val="32"/>
    <w:qFormat/>
    <w:rsid w:val="0035143A"/>
    <w:rPr>
      <w:b/>
      <w:bCs/>
      <w:smallCaps/>
      <w:color w:val="0F4761" w:themeColor="accent1" w:themeShade="BF"/>
      <w:spacing w:val="5"/>
    </w:rPr>
  </w:style>
  <w:style w:type="character" w:styleId="Hyperlink">
    <w:name w:val="Hyperlink"/>
    <w:uiPriority w:val="99"/>
    <w:rsid w:val="0035143A"/>
    <w:rPr>
      <w:rFonts w:ascii="Arial" w:hAnsi="Arial"/>
      <w:color w:val="3E863E"/>
      <w:u w:val="single"/>
    </w:rPr>
  </w:style>
  <w:style w:type="paragraph" w:styleId="NormalWeb">
    <w:name w:val="Normal (Web)"/>
    <w:basedOn w:val="Normal"/>
    <w:uiPriority w:val="99"/>
    <w:unhideWhenUsed/>
    <w:rsid w:val="0035143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h.bmj.com/content/9/4/e014937" TargetMode="External"/><Relationship Id="rId3" Type="http://schemas.openxmlformats.org/officeDocument/2006/relationships/webSettings" Target="webSettings.xml"/><Relationship Id="rId7" Type="http://schemas.openxmlformats.org/officeDocument/2006/relationships/hyperlink" Target="https://nbicloud-my.sharepoint.com/:b:/g/personal/kod25voz_nbi_ac_uk/IQARmzEM_XMfT7ugbRcprJ3IAaF6JENoP0IQzMDhRFmopU0?e=GVh6G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bicloud-my.sharepoint.com/:b:/g/personal/kod25voz_nbi_ac_uk/IQDCbOfLhu1ZRYLeK-lwK1W7AYNNpz5Eyx3JXnh4LTcMy-Y?e=49WiEn" TargetMode="External"/><Relationship Id="rId5" Type="http://schemas.openxmlformats.org/officeDocument/2006/relationships/hyperlink" Target="https://ieeexplore.ieee.org/document/9693082" TargetMode="External"/><Relationship Id="rId10" Type="http://schemas.openxmlformats.org/officeDocument/2006/relationships/theme" Target="theme/theme1.xml"/><Relationship Id="rId4" Type="http://schemas.openxmlformats.org/officeDocument/2006/relationships/hyperlink" Target="https://grassroots.tools/search_results.html?keyword=&amp;category=Al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625</Words>
  <Characters>4224</Characters>
  <Application>Microsoft Office Word</Application>
  <DocSecurity>0</DocSecurity>
  <Lines>74</Lines>
  <Paragraphs>10</Paragraphs>
  <ScaleCrop>false</ScaleCrop>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Uche (EI)</dc:creator>
  <cp:keywords/>
  <dc:description/>
  <cp:lastModifiedBy>Fred Uche (EI)</cp:lastModifiedBy>
  <cp:revision>12</cp:revision>
  <dcterms:created xsi:type="dcterms:W3CDTF">2026-07-28T13:11:00Z</dcterms:created>
  <dcterms:modified xsi:type="dcterms:W3CDTF">2026-07-28T13:14:00Z</dcterms:modified>
</cp:coreProperties>
</file>