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mc:Ignorable="w14 w15 w16se w16cid w16 w16cex w16sdtdh w16sdtfl w16du wp14">
  <w:body>
    <w:p>
      <w:pPr>
        <w:rPr>
          <w:rFonts w:cs="Arial"/>
          <w:szCs w:val="22"/>
        </w:rPr>
      </w:pPr>
      <w:r>
        <w:rPr>
          <w:b/>
          <w:bCs/>
          <w:szCs w:val="22"/>
        </w:rPr>
        <w:t>Module one: Contributions to the generation of new ideas, tools, methodologies or knowledge</w:t>
      </w:r>
    </w:p>
    <w:p>
      <w:pPr>
        <w:pStyle w:val="NormalWeb"/>
        <w:rPr>
          <w:sz w:val="22"/>
          <w:szCs w:val="22"/>
        </w:rPr>
      </w:pPr>
      <w:r>
        <w:rPr>
          <w:sz w:val="22"/>
          <w:szCs w:val="22"/>
        </w:rPr>
        <w:t>Fred has contributed to the development of scalable research data infrastructures and practical methods that support evidence-based discovery across health, agriculture and AI-enabled research. His work has focused on turning complex research data into structured, reusable outputs that can be searched, analysed and shared across disciplinary boundaries.</w:t>
      </w:r>
    </w:p>
    <w:p>
      <w:pPr>
        <w:pStyle w:val="NormalWeb"/>
        <w:rPr>
          <w:sz w:val="22"/>
          <w:szCs w:val="22"/>
        </w:rPr>
      </w:pPr>
      <w:r>
        <w:rPr>
          <w:sz w:val="22"/>
          <w:szCs w:val="22"/>
        </w:rPr>
        <w:t>Through the Grassroots Data Infrastructure System, he has developed and enhanced approaches for collecting, standardising and sharing crop field trial data using established ontologies and community-driven standards. This work has supported data from more than 15 research locations and enabled the representation and reuse of over eight years of phenotypic datasets, contributing methods and outputs for wheat research and crop improvement.</w:t>
      </w:r>
    </w:p>
    <w:p>
      <w:pPr>
        <w:pStyle w:val="NormalWeb"/>
        <w:rPr>
          <w:sz w:val="22"/>
          <w:szCs w:val="22"/>
        </w:rPr>
      </w:pPr>
      <w:r>
        <w:rPr>
          <w:sz w:val="22"/>
          <w:szCs w:val="22"/>
        </w:rPr>
        <w:t>He also led the development of a Health Demographic Surveillance System at the Medical Research Council Unit, The Gambia, at the London School of Hygiene and Tropical Medicine. This provided a robust platform for collecting, managing and analysing longitudinal population health data, strengthening research workflows and the generation of knowledge for public health research.</w:t>
      </w:r>
    </w:p>
    <w:p>
      <w:pPr>
        <w:pStyle w:val="NormalWeb"/>
        <w:rPr>
          <w:sz w:val="22"/>
          <w:szCs w:val="22"/>
        </w:rPr>
      </w:pPr>
      <w:r>
        <w:rPr>
          <w:sz w:val="22"/>
          <w:szCs w:val="22"/>
        </w:rPr>
        <w:t>At Oxford Brookes University, he collaborated with IT Services to develop institutional guidance on the use of AI, identifying appropriate tools and best practices to support ethical and effective adoption of AI in teaching, learning and research. His contributions to research automation, AI-based agricultural applications and data management have produced practical methodologies that improve research quality and innovation across domains.</w:t>
      </w:r>
    </w:p>
    <w:p/>
    <w:p>
      <w:pPr>
        <w:rPr>
          <w:rFonts w:cs="Arial"/>
          <w:szCs w:val="22"/>
        </w:rPr>
      </w:pPr>
      <w:r>
        <w:rPr>
          <w:b/>
          <w:bCs/>
          <w:szCs w:val="22"/>
        </w:rPr>
        <w:t>Module two: Contributions to the development of others and maintenance of effective working relationships</w:t>
      </w:r>
    </w:p>
    <w:p>
      <w:pPr>
        <w:pStyle w:val="NormalWeb"/>
        <w:rPr>
          <w:sz w:val="22"/>
          <w:szCs w:val="22"/>
        </w:rPr>
      </w:pPr>
      <w:r>
        <w:rPr>
          <w:sz w:val="22"/>
          <w:szCs w:val="22"/>
        </w:rPr>
        <w:t>Fred has contributed specialist software, data-management and research-infrastructure expertise within multidisciplinary teams, helping collaborators to work more effectively with complex datasets and digital research platforms. His role has involved translating research requirements into practical systems that support researchers, technical colleagues and institutional users.</w:t>
      </w:r>
    </w:p>
    <w:p>
      <w:pPr>
        <w:pStyle w:val="NormalWeb"/>
        <w:rPr>
          <w:sz w:val="22"/>
          <w:szCs w:val="22"/>
        </w:rPr>
      </w:pPr>
      <w:r>
        <w:rPr>
          <w:sz w:val="22"/>
          <w:szCs w:val="22"/>
        </w:rPr>
        <w:t>In the Grassroots Data Infrastructure work, he has supported collaborative approaches to field trial data capture, quality and interoperability, working with plant science and wheat research colleagues to make datasets easier to manage, interpret and reuse. This contribution strengthened shared working practices around FAIR data and helped teams use common standards rather than isolated local formats.</w:t>
      </w:r>
    </w:p>
    <w:p>
      <w:pPr>
        <w:pStyle w:val="NormalWeb"/>
        <w:rPr>
          <w:sz w:val="22"/>
          <w:szCs w:val="22"/>
        </w:rPr>
      </w:pPr>
      <w:r>
        <w:rPr>
          <w:sz w:val="22"/>
          <w:szCs w:val="22"/>
        </w:rPr>
        <w:t>His collaboration with Oxford Brookes University IT Services demonstrates his contribution to effective working relationships beyond a single research project. By helping develop institutional AI guidance, he supported colleagues in identifying appropriate tools and best practices for responsible use of AI across teaching, learning and research.</w:t>
      </w:r>
    </w:p>
    <w:p>
      <w:pPr>
        <w:pStyle w:val="NormalWeb"/>
        <w:rPr>
          <w:sz w:val="22"/>
          <w:szCs w:val="22"/>
        </w:rPr>
      </w:pPr>
      <w:r>
        <w:rPr>
          <w:sz w:val="22"/>
          <w:szCs w:val="22"/>
        </w:rPr>
        <w:t>He has also worked with researchers using demographic surveillance data and with the Delivering Sustainable Wheat community, providing technical input that helped align infrastructure development with research needs. These contributions show his ability to support teams, share expertise and maintain productive relationships across institutional, disciplinary and international settings.</w:t>
      </w:r>
    </w:p>
    <w:p/>
    <w:p>
      <w:pPr>
        <w:rPr>
          <w:rFonts w:cs="Arial"/>
          <w:szCs w:val="22"/>
        </w:rPr>
      </w:pPr>
      <w:r>
        <w:rPr>
          <w:b/>
          <w:bCs/>
          <w:szCs w:val="22"/>
        </w:rPr>
        <w:t>Module three: Contributions to the wider research and innovation community</w:t>
      </w:r>
    </w:p>
    <w:p>
      <w:pPr>
        <w:pStyle w:val="NormalWeb"/>
        <w:rPr>
          <w:sz w:val="22"/>
          <w:szCs w:val="22"/>
        </w:rPr>
      </w:pPr>
      <w:r>
        <w:rPr>
          <w:sz w:val="22"/>
          <w:szCs w:val="22"/>
        </w:rPr>
        <w:t>Fred has contributed to wider research and innovation communities by sharing research-infrastructure practice, supporting community standards and participating in professional activities that strengthen research software and data ecosystems. His contributions extend beyond individual projects by helping improve how research data and software are reviewed, communicated and reused.</w:t>
      </w:r>
    </w:p>
    <w:p>
      <w:pPr>
        <w:pStyle w:val="NormalWeb"/>
        <w:rPr>
          <w:sz w:val="22"/>
          <w:szCs w:val="22"/>
        </w:rPr>
      </w:pPr>
      <w:r>
        <w:rPr>
          <w:sz w:val="22"/>
          <w:szCs w:val="22"/>
        </w:rPr>
        <w:t>He has engaged with international research communities through poster presentations and talks at events including the Deep Learning Indaba and BioFAIR Showcase. These activities promoted discussion around research infrastructure, AI-enabled research and data-sharing practice, helping connect his technical work with broader community priorities.</w:t>
      </w:r>
    </w:p>
    <w:p>
      <w:pPr>
        <w:pStyle w:val="NormalWeb"/>
        <w:rPr>
          <w:sz w:val="22"/>
          <w:szCs w:val="22"/>
        </w:rPr>
      </w:pPr>
      <w:r>
        <w:rPr>
          <w:sz w:val="22"/>
          <w:szCs w:val="22"/>
        </w:rPr>
        <w:t>He has contributed to the research software engineering community through peer-review activities for RSECon26, supporting quality and exchange within the professional RSE community. He has also worked with the Delivering Sustainable Wheat community to strengthen agricultural data sharing and integration, contributing to shared infrastructure and standards that benefit crop research more widely.</w:t>
      </w:r>
    </w:p>
    <w:p>
      <w:pPr>
        <w:pStyle w:val="NormalWeb"/>
        <w:rPr>
          <w:sz w:val="22"/>
          <w:szCs w:val="22"/>
        </w:rPr>
      </w:pPr>
      <w:r>
        <w:rPr>
          <w:sz w:val="22"/>
          <w:szCs w:val="22"/>
        </w:rPr>
        <w:t>Across these activities, Fred has helped advance FAIR data practices, reproducible research workflows and responsible adoption of digital tools within research communities that depend on robust, reusable data and software infrastructure.</w:t>
      </w:r>
    </w:p>
    <w:sectPr w:rsidR="00147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3A"/>
    <w:rsid w:val="0014771A"/>
    <w:rsid w:val="001F049A"/>
    <w:rsid w:val="0035143A"/>
    <w:rsid w:val="0042026F"/>
    <w:rsid w:val="00496CD6"/>
    <w:rsid w:val="004F02DC"/>
    <w:rsid w:val="006B6FED"/>
    <w:rsid w:val="008C10CE"/>
    <w:rsid w:val="008D6D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9F853E"/>
  <w15:chartTrackingRefBased/>
  <w15:docId w15:val="{67E43B02-99BB-BD40-B1D8-936075371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43A"/>
    <w:pPr>
      <w:spacing w:after="0" w:line="240" w:lineRule="auto"/>
    </w:pPr>
    <w:rPr>
      <w:rFonts w:ascii="Arial" w:eastAsia="Times New Roman" w:hAnsi="Arial" w:cs="Times New Roman"/>
      <w:kern w:val="0"/>
      <w:sz w:val="22"/>
      <w:szCs w:val="20"/>
      <w:lang w:eastAsia="en-GB"/>
      <w14:ligatures w14:val="none"/>
    </w:rPr>
  </w:style>
  <w:style w:type="paragraph" w:styleId="Heading1">
    <w:name w:val="heading 1"/>
    <w:basedOn w:val="Normal"/>
    <w:next w:val="Normal"/>
    <w:link w:val="Heading1Char"/>
    <w:uiPriority w:val="9"/>
    <w:qFormat/>
    <w:rsid w:val="0035143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5143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5143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5143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35143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35143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35143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35143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35143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43A"/>
    <w:rPr>
      <w:rFonts w:eastAsiaTheme="majorEastAsia" w:cstheme="majorBidi"/>
      <w:color w:val="272727" w:themeColor="text1" w:themeTint="D8"/>
    </w:rPr>
  </w:style>
  <w:style w:type="paragraph" w:styleId="Title">
    <w:name w:val="Title"/>
    <w:basedOn w:val="Normal"/>
    <w:next w:val="Normal"/>
    <w:link w:val="TitleChar"/>
    <w:uiPriority w:val="10"/>
    <w:qFormat/>
    <w:rsid w:val="0035143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51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43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51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43A"/>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35143A"/>
    <w:rPr>
      <w:i/>
      <w:iCs/>
      <w:color w:val="404040" w:themeColor="text1" w:themeTint="BF"/>
    </w:rPr>
  </w:style>
  <w:style w:type="paragraph" w:styleId="ListParagraph">
    <w:name w:val="List Paragraph"/>
    <w:basedOn w:val="Normal"/>
    <w:uiPriority w:val="34"/>
    <w:qFormat/>
    <w:rsid w:val="0035143A"/>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35143A"/>
    <w:rPr>
      <w:i/>
      <w:iCs/>
      <w:color w:val="0F4761" w:themeColor="accent1" w:themeShade="BF"/>
    </w:rPr>
  </w:style>
  <w:style w:type="paragraph" w:styleId="IntenseQuote">
    <w:name w:val="Intense Quote"/>
    <w:basedOn w:val="Normal"/>
    <w:next w:val="Normal"/>
    <w:link w:val="IntenseQuoteChar"/>
    <w:uiPriority w:val="30"/>
    <w:qFormat/>
    <w:rsid w:val="0035143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35143A"/>
    <w:rPr>
      <w:i/>
      <w:iCs/>
      <w:color w:val="0F4761" w:themeColor="accent1" w:themeShade="BF"/>
    </w:rPr>
  </w:style>
  <w:style w:type="character" w:styleId="IntenseReference">
    <w:name w:val="Intense Reference"/>
    <w:basedOn w:val="DefaultParagraphFont"/>
    <w:uiPriority w:val="32"/>
    <w:qFormat/>
    <w:rsid w:val="0035143A"/>
    <w:rPr>
      <w:b/>
      <w:bCs/>
      <w:smallCaps/>
      <w:color w:val="0F4761" w:themeColor="accent1" w:themeShade="BF"/>
      <w:spacing w:val="5"/>
    </w:rPr>
  </w:style>
  <w:style w:type="character" w:styleId="Hyperlink">
    <w:name w:val="Hyperlink"/>
    <w:uiPriority w:val="99"/>
    <w:rsid w:val="0035143A"/>
    <w:rPr>
      <w:rFonts w:ascii="Arial" w:hAnsi="Arial"/>
      <w:color w:val="3E863E"/>
      <w:u w:val="single"/>
    </w:rPr>
  </w:style>
  <w:style w:type="paragraph" w:styleId="NormalWeb">
    <w:name w:val="Normal (Web)"/>
    <w:basedOn w:val="Normal"/>
    <w:uiPriority w:val="99"/>
    <w:unhideWhenUsed/>
    <w:rsid w:val="0035143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h.bmj.com/content/9/4/e014937" TargetMode="External"/><Relationship Id="rId3" Type="http://schemas.openxmlformats.org/officeDocument/2006/relationships/webSettings" Target="webSettings.xml"/><Relationship Id="rId7" Type="http://schemas.openxmlformats.org/officeDocument/2006/relationships/hyperlink" Target="https://nbicloud-my.sharepoint.com/:b:/g/personal/kod25voz_nbi_ac_uk/IQARmzEM_XMfT7ugbRcprJ3IAaF6JENoP0IQzMDhRFmopU0?e=GVh6G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bicloud-my.sharepoint.com/:b:/g/personal/kod25voz_nbi_ac_uk/IQDCbOfLhu1ZRYLeK-lwK1W7AYNNpz5Eyx3JXnh4LTcMy-Y?e=49WiEn" TargetMode="External"/><Relationship Id="rId5" Type="http://schemas.openxmlformats.org/officeDocument/2006/relationships/hyperlink" Target="https://ieeexplore.ieee.org/document/9693082" TargetMode="External"/><Relationship Id="rId10" Type="http://schemas.openxmlformats.org/officeDocument/2006/relationships/theme" Target="theme/theme1.xml"/><Relationship Id="rId4" Type="http://schemas.openxmlformats.org/officeDocument/2006/relationships/hyperlink" Target="https://grassroots.tools/search_results.html?keyword=&amp;category=Al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4224</Characters>
  <Application>Microsoft Office Word</Application>
  <DocSecurity>0</DocSecurity>
  <Lines>74</Lines>
  <Paragraphs>10</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Uche (EI)</dc:creator>
  <cp:keywords/>
  <dc:description/>
  <cp:lastModifiedBy>Fred Uche (EI)</cp:lastModifiedBy>
  <cp:revision>12</cp:revision>
  <dcterms:created xsi:type="dcterms:W3CDTF">2026-07-28T13:11:00Z</dcterms:created>
  <dcterms:modified xsi:type="dcterms:W3CDTF">2026-07-28T13:14:00Z</dcterms:modified>
</cp:coreProperties>
</file>