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Couple Therapy Page — Content Comparison</w:t>
      </w:r>
    </w:p>
    <w:p>
      <w:r>
        <w:rPr>
          <w:b/>
        </w:rPr>
        <w:t xml:space="preserve">OLD PAGE (source of truth): </w:t>
      </w:r>
      <w:r>
        <w:t>https://mandolin-wombat-n4bt.squarespace.com/coupletherapy</w:t>
      </w:r>
    </w:p>
    <w:p>
      <w:r>
        <w:rPr>
          <w:b/>
        </w:rPr>
        <w:t xml:space="preserve">NEW PAGE: </w:t>
      </w:r>
      <w:r>
        <w:t>https://icsw.edu/continuing-education/integrative-psychoanalytic-couple-therapy/</w:t>
      </w:r>
    </w:p>
    <w:p>
      <w:r>
        <w:rPr>
          <w:b/>
        </w:rPr>
        <w:t xml:space="preserve">Date reviewed: </w:t>
      </w:r>
      <w:r>
        <w:t>16 September 2026</w:t>
      </w:r>
    </w:p>
    <w:p>
      <w:r>
        <w:rPr>
          <w:b/>
        </w:rPr>
        <w:t xml:space="preserve">Note: </w:t>
      </w:r>
      <w:r>
        <w:t>The old Squarespace page is treated as the authoritative content. Anything on the new page that contradicts, shortens, or invents copy is flagged below. "Status" values: MISSING (content dropped), CHANGED (meaning altered), CONFLICT (new page contradicts source), ADDED (not in source), OK (faithful).</w:t>
      </w:r>
    </w:p>
    <w:p>
      <w:pPr>
        <w:pStyle w:val="Heading1"/>
      </w:pPr>
      <w:r>
        <w:t>Client-Flagged Items — Raised 16 September 2026</w:t>
      </w:r>
    </w:p>
    <w:p>
      <w:r>
        <w:t xml:space="preserve">The client raised five issues after reviewing the new page. Each is mapped below to the rows it affects. Those rows are highlighted in yellow in the comparison table and the Priority Fix List, and tagged </w:t>
      </w:r>
      <w:r>
        <w:rPr>
          <w:b/>
          <w:color w:val="C00000"/>
        </w:rPr>
        <w:t>★ CLIENT ITEM n</w:t>
      </w:r>
      <w:r>
        <w:t>. The “Verified?” column reflects a fresh re-check of both live pages on 16 September 2026 — two of the client’s items do not match what the live page currently shows, and one of them reverses a recommendation made elsewhere in this report. Read that column before acting.</w:t>
      </w:r>
    </w:p>
    <w:tbl>
      <w:tblPr>
        <w:tblStyle w:val="TableGrid"/>
        <w:tblW w:type="auto" w:w="0"/>
        <w:tblLook w:firstColumn="1" w:firstRow="1" w:lastColumn="0" w:lastRow="0" w:noHBand="0" w:noVBand="1" w:val="04A0"/>
      </w:tblPr>
      <w:tblGrid>
        <w:gridCol w:w="3600"/>
        <w:gridCol w:w="3600"/>
        <w:gridCol w:w="3600"/>
        <w:gridCol w:w="3600"/>
      </w:tblGrid>
      <w:tr>
        <w:tc>
          <w:tcPr>
            <w:tcW w:type="dxa" w:w="3600"/>
          </w:tcPr>
          <w:p>
            <w:r/>
            <w:r>
              <w:rPr>
                <w:b/>
              </w:rPr>
              <w:t>#</w:t>
            </w:r>
          </w:p>
        </w:tc>
        <w:tc>
          <w:tcPr>
            <w:tcW w:type="dxa" w:w="3600"/>
          </w:tcPr>
          <w:p>
            <w:r/>
            <w:r>
              <w:rPr>
                <w:b/>
              </w:rPr>
              <w:t>Client’s item (as sent)</w:t>
            </w:r>
          </w:p>
        </w:tc>
        <w:tc>
          <w:tcPr>
            <w:tcW w:type="dxa" w:w="3600"/>
          </w:tcPr>
          <w:p>
            <w:r/>
            <w:r>
              <w:rPr>
                <w:b/>
              </w:rPr>
              <w:t>Where it appears in this report</w:t>
            </w:r>
          </w:p>
        </w:tc>
        <w:tc>
          <w:tcPr>
            <w:tcW w:type="dxa" w:w="3600"/>
          </w:tcPr>
          <w:p>
            <w:r/>
            <w:r>
              <w:rPr>
                <w:b/>
              </w:rPr>
              <w:t>Verified? — re-checked 16 Sep 2026</w:t>
            </w:r>
          </w:p>
        </w:tc>
      </w:tr>
      <w:tr>
        <w:tc>
          <w:tcPr>
            <w:tcW w:type="dxa" w:w="3600"/>
          </w:tcPr>
          <w:p>
            <w:r/>
            <w:r>
              <w:rPr>
                <w:b/>
              </w:rPr>
              <w:t>1</w:t>
            </w:r>
          </w:p>
        </w:tc>
        <w:tc>
          <w:tcPr>
            <w:tcW w:type="dxa" w:w="3600"/>
          </w:tcPr>
          <w:p>
            <w:r/>
            <w:r>
              <w:t>“Class/CE counts significantly wrong (e.g., 9 case conferences listed instead of 21).”</w:t>
            </w:r>
          </w:p>
        </w:tc>
        <w:tc>
          <w:tcPr>
            <w:tcW w:type="dxa" w:w="3600"/>
          </w:tcPr>
          <w:p>
            <w:r/>
            <w:r>
              <w:t>Comparison table: Class count / guest lecturer split · Case Conference Component · Continuing Education / CEs · Program dates / length.</w:t>
            </w:r>
          </w:p>
          <w:p>
            <w:r>
              <w:t>Priority Fix List: #8, #9, #15.</w:t>
            </w:r>
          </w:p>
        </w:tc>
        <w:tc>
          <w:tcPr>
            <w:tcW w:type="dxa" w:w="3600"/>
          </w:tcPr>
          <w:p>
            <w:r/>
            <w:r>
              <w:t>PARTLY CONFIRMED. The counts do conflict: the old page says 29 classes, 10 guest-led, and 18 classes that include a case conference. The new page says 28 classes, 12 guest-led, and gives no case-conference count at all. However, the specific figures “9” and “21” appear on neither page as published — ask the client where those came from (a different draft, or the CE filing) so the correct numbers can be set once and reused everywhere.</w:t>
            </w:r>
          </w:p>
        </w:tc>
      </w:tr>
      <w:tr>
        <w:tc>
          <w:tcPr>
            <w:tcW w:type="dxa" w:w="3600"/>
          </w:tcPr>
          <w:p>
            <w:r/>
            <w:r>
              <w:rPr>
                <w:b/>
              </w:rPr>
              <w:t>2</w:t>
            </w:r>
          </w:p>
        </w:tc>
        <w:tc>
          <w:tcPr>
            <w:tcW w:type="dxa" w:w="3600"/>
          </w:tcPr>
          <w:p>
            <w:r/>
            <w:r>
              <w:t>“Content referencing a topic (attachment theory) that isn’t even part of the program.”</w:t>
            </w:r>
          </w:p>
        </w:tc>
        <w:tc>
          <w:tcPr>
            <w:tcW w:type="dxa" w:w="3600"/>
          </w:tcPr>
          <w:p>
            <w:r/>
            <w:r>
              <w:t>Comparison table: Didactic Component — Part III.</w:t>
            </w:r>
          </w:p>
        </w:tc>
        <w:tc>
          <w:tcPr>
            <w:tcW w:type="dxa" w:w="3600"/>
          </w:tcPr>
          <w:p>
            <w:r/>
            <w:r>
              <w:t>NEEDS A CLIENT DECISION — and it reverses this report’s advice. “Attachment-based/Emotion Focused Therapy (EFT)” appears on the OLD page, inside Part III. The live new page never uses the word “attachment”; it lists “systems, neuroscience, EFT, and the Gottman Method.” So the inaccurate copy is in the source, not the rebuild. If attachment theory is genuinely not taught, do NOT restore Part III verbatim as originally recommended — strike the attachment clause from the approved copy, and check the CE objectives filing for the same wording.</w:t>
            </w:r>
          </w:p>
        </w:tc>
      </w:tr>
      <w:tr>
        <w:tc>
          <w:tcPr>
            <w:tcW w:type="dxa" w:w="3600"/>
          </w:tcPr>
          <w:p>
            <w:r/>
            <w:r>
              <w:rPr>
                <w:b/>
              </w:rPr>
              <w:t>3</w:t>
            </w:r>
          </w:p>
        </w:tc>
        <w:tc>
          <w:tcPr>
            <w:tcW w:type="dxa" w:w="3600"/>
          </w:tcPr>
          <w:p>
            <w:r/>
            <w:r>
              <w:t>“Program name, cost, and student numbers all inaccurate.”</w:t>
            </w:r>
          </w:p>
        </w:tc>
        <w:tc>
          <w:tcPr>
            <w:tcW w:type="dxa" w:w="3600"/>
          </w:tcPr>
          <w:p>
            <w:r/>
            <w:r>
              <w:t>Comparison table: Page title (H1) · Cohort / recruiting banner · Application steps · Admissions contact / follow-up · Tuition amount and due date · Consultation fee structure.</w:t>
            </w:r>
          </w:p>
        </w:tc>
        <w:tc>
          <w:tcPr>
            <w:tcW w:type="dxa" w:w="3600"/>
          </w:tcPr>
          <w:p>
            <w:r/>
            <w:r>
              <w:t>CONFIRMED as areas of conflict. NAME: old “Certificate Program in Integrative Psychoanalytic Couple Therapy” vs new “Integrative Psychoanalytic Couple Therapy” — “Certificate Program in” was dropped. COST: the new page adds “Payment plans available” (not in the source), drops the “due one week prior to the first class” term, and hides that the $1,000 is 10 × $100 paid directly to the assigned consultant rather than to ICSW. STUDENT NUMBERS: the new page shows only “Max 12 students”; the minimum of eight participants and the “6th cohort / 5 years / 55+ graduates / 5 countries” proof points are gone. Please have the client supply the correct name, price and headcount figures.</w:t>
            </w:r>
          </w:p>
        </w:tc>
      </w:tr>
      <w:tr>
        <w:tc>
          <w:tcPr>
            <w:tcW w:type="dxa" w:w="3600"/>
          </w:tcPr>
          <w:p>
            <w:r/>
            <w:r>
              <w:rPr>
                <w:b/>
              </w:rPr>
              <w:t>4</w:t>
            </w:r>
          </w:p>
        </w:tc>
        <w:tc>
          <w:tcPr>
            <w:tcW w:type="dxa" w:w="3600"/>
          </w:tcPr>
          <w:p>
            <w:r/>
            <w:r>
              <w:t>“The full list of learning goals/objectives (up for 5 years) has been deleted entirely.”</w:t>
            </w:r>
          </w:p>
        </w:tc>
        <w:tc>
          <w:tcPr>
            <w:tcW w:type="dxa" w:w="3600"/>
          </w:tcPr>
          <w:p>
            <w:r/>
            <w:r>
              <w:t>Comparison table: Learning Objectives.</w:t>
            </w:r>
          </w:p>
          <w:p>
            <w:r>
              <w:t>Priority Fix List: #15.</w:t>
            </w:r>
          </w:p>
        </w:tc>
        <w:tc>
          <w:tcPr>
            <w:tcW w:type="dxa" w:w="3600"/>
          </w:tcPr>
          <w:p>
            <w:r/>
            <w:r>
              <w:t>PARTLY CONFIRMED — and this report under-graded it. Six shortened bullets do render on the new page under “Professional Capabilities Achieved,” so the section is not blank, but every objective has been rewritten into a fragment and the published full-sentence objectives are gone (including “such as psychoeducation” and “highlighting the psychoanalytic components, if integrative”). This row was graded CHANGED (minor); on the client’s account it should be treated as a HIGH-PRIORITY verbatim restore, because these are the CE learning objectives that have stood for five years. Confirm whether six is the complete historical list or whether more objectives existed.</w:t>
            </w:r>
          </w:p>
        </w:tc>
      </w:tr>
      <w:tr>
        <w:tc>
          <w:tcPr>
            <w:tcW w:type="dxa" w:w="3600"/>
          </w:tcPr>
          <w:p>
            <w:r/>
            <w:r>
              <w:rPr>
                <w:b/>
              </w:rPr>
              <w:t>5</w:t>
            </w:r>
          </w:p>
        </w:tc>
        <w:tc>
          <w:tcPr>
            <w:tcW w:type="dxa" w:w="3600"/>
          </w:tcPr>
          <w:p>
            <w:r/>
            <w:r>
              <w:t>“The Guest Speakers and Clinical Case Consultants lists are gone — these were contractual commitments made in exchange for reduced-rate teaching/consulting.”</w:t>
            </w:r>
          </w:p>
        </w:tc>
        <w:tc>
          <w:tcPr>
            <w:tcW w:type="dxa" w:w="3600"/>
          </w:tcPr>
          <w:p>
            <w:r/>
            <w:r>
              <w:t>Comparison table: Class count / guest lecturer split · Guest lecturer list · Individual Consultation Component · Adjunct Clinical Consultants list.</w:t>
            </w:r>
          </w:p>
          <w:p>
            <w:r>
              <w:t>Priority Fix List: #12.</w:t>
            </w:r>
          </w:p>
        </w:tc>
        <w:tc>
          <w:tcPr>
            <w:tcW w:type="dxa" w:w="3600"/>
          </w:tcPr>
          <w:p>
            <w:r/>
            <w:r>
              <w:t>NOT REPRODUCED ON THE LIVE PAGE — please re-check with the client. As of 16 September 2026 both lists do render at the new URL: 17 guest lecturers (Mona Fishbane through Michelle Avigan, same order as the source) and 12 adjunct clinical consultants with credentials. The client may have reviewed a cached page or an earlier build — confirm which URL and date they looked at. What IS genuinely missing, and matters for a contractual commitment: the roster is no longer dated (“Adjunct Clinical Consultants 2025-26 and continuing to 2026-27” became just “Adjunct Clinical Consultants”), the word “psychoanalytic” was removed from the consultant description, that description prints twice in a row, and credential punctuation is inconsistent. Restore the dated heading so the named commitments stay visibly attributed.</w:t>
            </w:r>
          </w:p>
        </w:tc>
      </w:tr>
    </w:tbl>
    <w:p/>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160"/>
          </w:tcPr>
          <w:p>
            <w:r/>
            <w:r>
              <w:rPr>
                <w:b/>
                <w:sz w:val="18"/>
              </w:rPr>
              <w:t>Section / Element</w:t>
            </w:r>
          </w:p>
        </w:tc>
        <w:tc>
          <w:tcPr>
            <w:tcW w:type="dxa" w:w="4464"/>
          </w:tcPr>
          <w:p>
            <w:r/>
            <w:r>
              <w:rPr>
                <w:b/>
                <w:sz w:val="18"/>
              </w:rPr>
              <w:t>OLD PAGE (Source of Truth)</w:t>
            </w:r>
          </w:p>
        </w:tc>
        <w:tc>
          <w:tcPr>
            <w:tcW w:type="dxa" w:w="3600"/>
          </w:tcPr>
          <w:p>
            <w:r/>
            <w:r>
              <w:rPr>
                <w:b/>
                <w:sz w:val="18"/>
              </w:rPr>
              <w:t>NEW PAGE</w:t>
            </w:r>
          </w:p>
        </w:tc>
        <w:tc>
          <w:tcPr>
            <w:tcW w:type="dxa" w:w="1296"/>
          </w:tcPr>
          <w:p>
            <w:r/>
            <w:r>
              <w:rPr>
                <w:b/>
                <w:sz w:val="18"/>
              </w:rPr>
              <w:t>Status</w:t>
            </w:r>
          </w:p>
        </w:tc>
        <w:tc>
          <w:tcPr>
            <w:tcW w:type="dxa" w:w="3312"/>
          </w:tcPr>
          <w:p>
            <w:r/>
            <w:r>
              <w:rPr>
                <w:b/>
                <w:sz w:val="18"/>
              </w:rPr>
              <w:t>What’s Missing / Action Needed</w:t>
            </w:r>
          </w:p>
        </w:tc>
      </w:tr>
      <w:tr>
        <w:tc>
          <w:tcPr>
            <w:tcW w:type="dxa" w:w="2160"/>
          </w:tcPr>
          <w:p>
            <w:r>
              <w:rPr>
                <w:b/>
                <w:color w:val="C00000"/>
                <w:sz w:val="16"/>
                <w:highlight w:val="yellow"/>
              </w:rPr>
              <w:t>★ CLIENT ITEM 3</w:t>
            </w:r>
          </w:p>
          <w:p>
            <w:r>
              <w:rPr>
                <w:highlight w:val="yellow"/>
              </w:rPr>
            </w:r>
            <w:r>
              <w:rPr>
                <w:b/>
                <w:sz w:val="17"/>
                <w:highlight w:val="yellow"/>
              </w:rPr>
              <w:t>Page title (H1)</w:t>
            </w:r>
          </w:p>
        </w:tc>
        <w:tc>
          <w:tcPr>
            <w:tcW w:type="dxa" w:w="4464"/>
          </w:tcPr>
          <w:p>
            <w:r>
              <w:rPr>
                <w:highlight w:val="yellow"/>
              </w:rPr>
            </w:r>
            <w:r>
              <w:rPr>
                <w:sz w:val="17"/>
                <w:highlight w:val="yellow"/>
              </w:rPr>
              <w:t>Certificate Program in Integrative Psychoanalytic Couple Therapy</w:t>
            </w:r>
          </w:p>
        </w:tc>
        <w:tc>
          <w:tcPr>
            <w:tcW w:type="dxa" w:w="3600"/>
          </w:tcPr>
          <w:p>
            <w:r>
              <w:rPr>
                <w:highlight w:val="yellow"/>
              </w:rPr>
            </w:r>
            <w:r>
              <w:rPr>
                <w:sz w:val="17"/>
                <w:highlight w:val="yellow"/>
              </w:rPr>
              <w:t>Integrative Psychoanalytic Couple Therapy</w:t>
            </w:r>
          </w:p>
        </w:tc>
        <w:tc>
          <w:tcPr>
            <w:tcW w:type="dxa" w:w="1296"/>
          </w:tcPr>
          <w:p>
            <w:r>
              <w:rPr>
                <w:highlight w:val="yellow"/>
              </w:rPr>
            </w:r>
            <w:r>
              <w:rPr>
                <w:b/>
                <w:sz w:val="17"/>
                <w:highlight w:val="yellow"/>
              </w:rPr>
              <w:t>CHANGED</w:t>
            </w:r>
          </w:p>
        </w:tc>
        <w:tc>
          <w:tcPr>
            <w:tcW w:type="dxa" w:w="3312"/>
          </w:tcPr>
          <w:p>
            <w:r>
              <w:rPr>
                <w:highlight w:val="yellow"/>
              </w:rPr>
            </w:r>
            <w:r>
              <w:rPr>
                <w:sz w:val="17"/>
                <w:highlight w:val="yellow"/>
              </w:rPr>
              <w:t>“Certificate Program in” was dropped from the H1. Restore, or confirm the shortened H1 is intentional — “certificate” is the main search term for this offering.</w:t>
            </w:r>
          </w:p>
        </w:tc>
      </w:tr>
      <w:tr>
        <w:tc>
          <w:tcPr>
            <w:tcW w:type="dxa" w:w="2160"/>
          </w:tcPr>
          <w:p>
            <w:r>
              <w:rPr>
                <w:b/>
                <w:color w:val="C00000"/>
                <w:sz w:val="16"/>
                <w:highlight w:val="yellow"/>
              </w:rPr>
              <w:t>★ CLIENT ITEM 3</w:t>
            </w:r>
          </w:p>
          <w:p>
            <w:r>
              <w:rPr>
                <w:highlight w:val="yellow"/>
              </w:rPr>
            </w:r>
            <w:r>
              <w:rPr>
                <w:b/>
                <w:sz w:val="17"/>
                <w:highlight w:val="yellow"/>
              </w:rPr>
              <w:t>Cohort / recruiting banner</w:t>
            </w:r>
          </w:p>
        </w:tc>
        <w:tc>
          <w:tcPr>
            <w:tcW w:type="dxa" w:w="4464"/>
          </w:tcPr>
          <w:p>
            <w:r>
              <w:rPr>
                <w:highlight w:val="yellow"/>
              </w:rPr>
            </w:r>
            <w:r>
              <w:rPr>
                <w:sz w:val="17"/>
                <w:highlight w:val="yellow"/>
              </w:rPr>
              <w:t>“All VIRTUAL 9 Month program recruiting for our 6th cohort.” and “Applications are now being accepted for our 6th cohort to begin in September 2026, building on 5 successful years and over 55 graduates from 5 countries.”</w:t>
            </w:r>
          </w:p>
        </w:tc>
        <w:tc>
          <w:tcPr>
            <w:tcW w:type="dxa" w:w="3600"/>
          </w:tcPr>
          <w:p>
            <w:r>
              <w:rPr>
                <w:highlight w:val="yellow"/>
              </w:rPr>
            </w:r>
            <w:r>
              <w:rPr>
                <w:sz w:val="17"/>
                <w:highlight w:val="yellow"/>
              </w:rPr>
              <w:t>No banner. Quick Facts says: “Mid-September 2026 (Fall 2026 Cohort is at Capacity)”</w:t>
            </w:r>
          </w:p>
        </w:tc>
        <w:tc>
          <w:tcPr>
            <w:tcW w:type="dxa" w:w="1296"/>
          </w:tcPr>
          <w:p>
            <w:r>
              <w:rPr>
                <w:highlight w:val="yellow"/>
              </w:rPr>
            </w:r>
            <w:r>
              <w:rPr>
                <w:b/>
                <w:sz w:val="17"/>
                <w:highlight w:val="yellow"/>
              </w:rPr>
              <w:t>CONFLICT / MISSING</w:t>
            </w:r>
          </w:p>
        </w:tc>
        <w:tc>
          <w:tcPr>
            <w:tcW w:type="dxa" w:w="3312"/>
          </w:tcPr>
          <w:p>
            <w:r>
              <w:rPr>
                <w:highlight w:val="yellow"/>
              </w:rPr>
            </w:r>
            <w:r>
              <w:rPr>
                <w:sz w:val="17"/>
                <w:highlight w:val="yellow"/>
              </w:rPr>
              <w:t>Direct contradiction: old page is actively recruiting, new page says the cohort is full while still showing an Apply Now button. Confirm which is true. Also missing the social proof — 6th cohort, 5 successful years, 55+ graduates, 5 countries.</w:t>
            </w:r>
          </w:p>
        </w:tc>
      </w:tr>
      <w:tr>
        <w:tc>
          <w:tcPr>
            <w:tcW w:type="dxa" w:w="2160"/>
          </w:tcPr>
          <w:p>
            <w:r/>
            <w:r>
              <w:rPr>
                <w:b/>
                <w:sz w:val="17"/>
              </w:rPr>
              <w:t>Intro — “Deepen Your Skills with Couples”</w:t>
            </w:r>
          </w:p>
        </w:tc>
        <w:tc>
          <w:tcPr>
            <w:tcW w:type="dxa" w:w="4464"/>
          </w:tcPr>
          <w:p>
            <w:r/>
            <w:r>
              <w:rPr>
                <w:sz w:val="17"/>
              </w:rPr>
              <w:t>Full paragraph on the challenges of couple psychotherapy and why psychoanalytic theory needs specialised couple training.</w:t>
            </w:r>
          </w:p>
        </w:tc>
        <w:tc>
          <w:tcPr>
            <w:tcW w:type="dxa" w:w="3600"/>
          </w:tcPr>
          <w:p>
            <w:r/>
            <w:r>
              <w:rPr>
                <w:sz w:val="17"/>
              </w:rPr>
              <w:t>Same paragraph, carried over almost verbatim.</w:t>
            </w:r>
          </w:p>
        </w:tc>
        <w:tc>
          <w:tcPr>
            <w:tcW w:type="dxa" w:w="1296"/>
          </w:tcPr>
          <w:p>
            <w:r/>
            <w:r>
              <w:rPr>
                <w:b/>
                <w:sz w:val="17"/>
              </w:rPr>
              <w:t>OK (typo)</w:t>
            </w:r>
          </w:p>
        </w:tc>
        <w:tc>
          <w:tcPr>
            <w:tcW w:type="dxa" w:w="3312"/>
          </w:tcPr>
          <w:p>
            <w:r/>
            <w:r>
              <w:rPr>
                <w:sz w:val="17"/>
              </w:rPr>
              <w:t>Typo on new page: “between thepartners” — missing space. Fix.</w:t>
            </w:r>
          </w:p>
        </w:tc>
      </w:tr>
      <w:tr>
        <w:tc>
          <w:tcPr>
            <w:tcW w:type="dxa" w:w="2160"/>
          </w:tcPr>
          <w:p>
            <w:r/>
            <w:r>
              <w:rPr>
                <w:b/>
                <w:sz w:val="17"/>
              </w:rPr>
              <w:t>Program Mission</w:t>
            </w:r>
          </w:p>
        </w:tc>
        <w:tc>
          <w:tcPr>
            <w:tcW w:type="dxa" w:w="4464"/>
          </w:tcPr>
          <w:p>
            <w:r/>
            <w:r>
              <w:rPr>
                <w:sz w:val="17"/>
              </w:rPr>
              <w:t>“To create a stimulating, supportive learning community that helps master’s and doctoral-level clinicians improve their ability to apply psychoanalytic theory to understanding and working effectively with couples, thereby increasing the availability of excellent psychoanalytic couple therapy for couples of all income levels.”</w:t>
            </w:r>
          </w:p>
        </w:tc>
        <w:tc>
          <w:tcPr>
            <w:tcW w:type="dxa" w:w="3600"/>
          </w:tcPr>
          <w:p>
            <w:r/>
            <w:r>
              <w:rPr>
                <w:sz w:val="17"/>
              </w:rPr>
              <w:t>Section does not exist. In its place, a “Core Value” block reads: “Our Master’s program is offered in a hybrid format designed for working professionals, combining online coursework with intensive in-person residencies and clinical practice experiences.”</w:t>
            </w:r>
          </w:p>
        </w:tc>
        <w:tc>
          <w:tcPr>
            <w:tcW w:type="dxa" w:w="1296"/>
          </w:tcPr>
          <w:p>
            <w:r/>
            <w:r>
              <w:rPr>
                <w:b/>
                <w:sz w:val="17"/>
              </w:rPr>
              <w:t>MISSING + WRONG COPY</w:t>
            </w:r>
          </w:p>
        </w:tc>
        <w:tc>
          <w:tcPr>
            <w:tcW w:type="dxa" w:w="3312"/>
          </w:tcPr>
          <w:p>
            <w:r/>
            <w:r>
              <w:rPr>
                <w:sz w:val="17"/>
              </w:rPr>
              <w:t>HIGH PRIORITY. The mission statement is gone entirely, and the copy that replaced it is from the Master’s degree page — it describes a hybrid program with in-person residencies, which is wrong for an all-virtual certificate. Remove and restore the mission.</w:t>
            </w:r>
          </w:p>
        </w:tc>
      </w:tr>
      <w:tr>
        <w:tc>
          <w:tcPr>
            <w:tcW w:type="dxa" w:w="2160"/>
          </w:tcPr>
          <w:p>
            <w:r/>
            <w:r>
              <w:rPr>
                <w:b/>
                <w:sz w:val="17"/>
              </w:rPr>
              <w:t>Core faculty bios</w:t>
            </w:r>
          </w:p>
        </w:tc>
        <w:tc>
          <w:tcPr>
            <w:tcW w:type="dxa" w:w="4464"/>
          </w:tcPr>
          <w:p>
            <w:r/>
            <w:r>
              <w:rPr>
                <w:sz w:val="17"/>
              </w:rPr>
              <w:t>Three full bios: Carla Leone PhD (Program Director; CPI and ICSW faculty; President of the International Association for Psychoanalytic Self Psychology; author of numerous papers), Arthur Nielsen MD (CPI faculty; board-certified psychiatrist and psychoanalyst; author of ‘A Roadmap for Couple Therapy’ and ‘Integrative Couple Therapy in Action’), Karen Bloomberg PhD (CPI/ICSW faculty; Dean of Students; quoted in The Atlantic and on Showtime’s ‘Couples Therapy’). Includes headshots and links to each faculty page plus arthurnielsenmd.com.</w:t>
            </w:r>
          </w:p>
        </w:tc>
        <w:tc>
          <w:tcPr>
            <w:tcW w:type="dxa" w:w="3600"/>
          </w:tcPr>
          <w:p>
            <w:r/>
            <w:r>
              <w:rPr>
                <w:sz w:val="17"/>
              </w:rPr>
              <w:t>Faculty cards with truncated bios ending in “…” and a “Discover More” link to each ICSW people page.</w:t>
            </w:r>
          </w:p>
        </w:tc>
        <w:tc>
          <w:tcPr>
            <w:tcW w:type="dxa" w:w="1296"/>
          </w:tcPr>
          <w:p>
            <w:r/>
            <w:r>
              <w:rPr>
                <w:b/>
                <w:sz w:val="17"/>
              </w:rPr>
              <w:t>MISSING</w:t>
            </w:r>
          </w:p>
        </w:tc>
        <w:tc>
          <w:tcPr>
            <w:tcW w:type="dxa" w:w="3312"/>
          </w:tcPr>
          <w:p>
            <w:r/>
            <w:r>
              <w:rPr>
                <w:sz w:val="17"/>
              </w:rPr>
              <w:t>The on-page credibility markers are gone: IAPSP presidency, Nielsen’s two book titles, Bloomberg’s Atlantic and Showtime credits, and the “three of Chicago’s preeminent couple therapists” framing. Also dropped: outbound links to arthurnielsenmd.com and to the Atlantic article. Recommend restoring at least one full sentence of credentials per bio.</w:t>
            </w:r>
          </w:p>
        </w:tc>
      </w:tr>
      <w:tr>
        <w:tc>
          <w:tcPr>
            <w:tcW w:type="dxa" w:w="2160"/>
          </w:tcPr>
          <w:p>
            <w:r/>
            <w:r>
              <w:rPr>
                <w:b/>
                <w:sz w:val="17"/>
              </w:rPr>
              <w:t>Consultant-assignment disclaimer</w:t>
            </w:r>
          </w:p>
        </w:tc>
        <w:tc>
          <w:tcPr>
            <w:tcW w:type="dxa" w:w="4464"/>
          </w:tcPr>
          <w:p>
            <w:r/>
            <w:r>
              <w:rPr>
                <w:sz w:val="17"/>
              </w:rPr>
              <w:t>“Every effort will be made to honor requests for a particular consultant, but assignments to consultants are made based on multiple factors and this may not always be possible.”</w:t>
            </w:r>
          </w:p>
        </w:tc>
        <w:tc>
          <w:tcPr>
            <w:tcW w:type="dxa" w:w="3600"/>
          </w:tcPr>
          <w:p>
            <w:r/>
            <w:r>
              <w:rPr>
                <w:sz w:val="17"/>
              </w:rPr>
              <w:t>Not present.</w:t>
            </w:r>
          </w:p>
        </w:tc>
        <w:tc>
          <w:tcPr>
            <w:tcW w:type="dxa" w:w="1296"/>
          </w:tcPr>
          <w:p>
            <w:r/>
            <w:r>
              <w:rPr>
                <w:b/>
                <w:sz w:val="17"/>
              </w:rPr>
              <w:t>MISSING</w:t>
            </w:r>
          </w:p>
        </w:tc>
        <w:tc>
          <w:tcPr>
            <w:tcW w:type="dxa" w:w="3312"/>
          </w:tcPr>
          <w:p>
            <w:r/>
            <w:r>
              <w:rPr>
                <w:sz w:val="17"/>
              </w:rPr>
              <w:t>Expectation-setting language for applicants. Restore.</w:t>
            </w:r>
          </w:p>
        </w:tc>
      </w:tr>
      <w:tr>
        <w:tc>
          <w:tcPr>
            <w:tcW w:type="dxa" w:w="2160"/>
          </w:tcPr>
          <w:p>
            <w:r/>
            <w:r>
              <w:rPr>
                <w:b/>
                <w:sz w:val="17"/>
              </w:rPr>
              <w:t>“Couple Therapy Program Events” section</w:t>
            </w:r>
          </w:p>
        </w:tc>
        <w:tc>
          <w:tcPr>
            <w:tcW w:type="dxa" w:w="4464"/>
          </w:tcPr>
          <w:p>
            <w:r/>
            <w:r>
              <w:rPr>
                <w:sz w:val="17"/>
              </w:rPr>
              <w:t>Section heading present with an events block beneath it (currently empty).</w:t>
            </w:r>
          </w:p>
        </w:tc>
        <w:tc>
          <w:tcPr>
            <w:tcW w:type="dxa" w:w="3600"/>
          </w:tcPr>
          <w:p>
            <w:r/>
            <w:r>
              <w:rPr>
                <w:sz w:val="17"/>
              </w:rPr>
              <w:t>Not present.</w:t>
            </w:r>
          </w:p>
        </w:tc>
        <w:tc>
          <w:tcPr>
            <w:tcW w:type="dxa" w:w="1296"/>
          </w:tcPr>
          <w:p>
            <w:r/>
            <w:r>
              <w:rPr>
                <w:b/>
                <w:sz w:val="17"/>
              </w:rPr>
              <w:t>MISSING</w:t>
            </w:r>
          </w:p>
        </w:tc>
        <w:tc>
          <w:tcPr>
            <w:tcW w:type="dxa" w:w="3312"/>
          </w:tcPr>
          <w:p>
            <w:r/>
            <w:r>
              <w:rPr>
                <w:sz w:val="17"/>
              </w:rPr>
              <w:t>Confirm with ICSW whether this events block is still needed. If it was never populated it can stay dropped — but it should be a decision, not an oversight.</w:t>
            </w:r>
          </w:p>
        </w:tc>
      </w:tr>
      <w:tr>
        <w:tc>
          <w:tcPr>
            <w:tcW w:type="dxa" w:w="2160"/>
          </w:tcPr>
          <w:p>
            <w:r/>
            <w:r>
              <w:rPr>
                <w:b/>
                <w:sz w:val="17"/>
              </w:rPr>
              <w:t>Didactic Component — Part I</w:t>
            </w:r>
          </w:p>
        </w:tc>
        <w:tc>
          <w:tcPr>
            <w:tcW w:type="dxa" w:w="4464"/>
          </w:tcPr>
          <w:p>
            <w:r/>
            <w:r>
              <w:rPr>
                <w:sz w:val="17"/>
              </w:rPr>
              <w:t>Full paragraph: basic tenets of psychoanalytic couple therapy; partners’ history/psychology/subjectivity; unconscious processes; transference and co-transference; creating safety, engaging the couple, making interpretations. Notes the first class is taught by all three core faculty and focuses on building a supportive community.</w:t>
            </w:r>
          </w:p>
        </w:tc>
        <w:tc>
          <w:tcPr>
            <w:tcW w:type="dxa" w:w="3600"/>
          </w:tcPr>
          <w:p>
            <w:r/>
            <w:r>
              <w:rPr>
                <w:sz w:val="17"/>
              </w:rPr>
              <w:t>One line under “Curriculum Roadmap”: “Phase I — Basic Tenets: Overview of psychoanalytic couple therapy, transference/co-transference, and creating safety in the clinical space.”</w:t>
            </w:r>
          </w:p>
        </w:tc>
        <w:tc>
          <w:tcPr>
            <w:tcW w:type="dxa" w:w="1296"/>
          </w:tcPr>
          <w:p>
            <w:r/>
            <w:r>
              <w:rPr>
                <w:b/>
                <w:sz w:val="17"/>
              </w:rPr>
              <w:t>CHANGED (condensed)</w:t>
            </w:r>
          </w:p>
        </w:tc>
        <w:tc>
          <w:tcPr>
            <w:tcW w:type="dxa" w:w="3312"/>
          </w:tcPr>
          <w:p>
            <w:r/>
            <w:r>
              <w:rPr>
                <w:sz w:val="17"/>
              </w:rPr>
              <w:t>Acceptable as a summary, but the detail that the first class is co-taught by all three core faculty is gone. Consider an expandable “full curriculum” accordion so the source detail is still on the page.</w:t>
            </w:r>
          </w:p>
        </w:tc>
      </w:tr>
      <w:tr>
        <w:tc>
          <w:tcPr>
            <w:tcW w:type="dxa" w:w="2160"/>
          </w:tcPr>
          <w:p>
            <w:r/>
            <w:r>
              <w:rPr>
                <w:b/>
                <w:sz w:val="17"/>
              </w:rPr>
              <w:t>Didactic Component — Part II</w:t>
            </w:r>
          </w:p>
        </w:tc>
        <w:tc>
          <w:tcPr>
            <w:tcW w:type="dxa" w:w="4464"/>
          </w:tcPr>
          <w:p>
            <w:r/>
            <w:r>
              <w:rPr>
                <w:sz w:val="17"/>
              </w:rPr>
              <w:t>Five major models named: Object Relations (American object relations AND the Tavistock model), Self Psychology, Intersubjective Systems Theory, Relational Theory — with how each conceptualises and addresses couples’ difficulties, compared and contrasted.</w:t>
            </w:r>
          </w:p>
        </w:tc>
        <w:tc>
          <w:tcPr>
            <w:tcW w:type="dxa" w:w="3600"/>
          </w:tcPr>
          <w:p>
            <w:r/>
            <w:r>
              <w:rPr>
                <w:sz w:val="17"/>
              </w:rPr>
              <w:t>“Phase II — Major Models: In-depth study of Object Relations, Self Psychology, Intersubjective Systems, and Relational Theory.”</w:t>
            </w:r>
          </w:p>
        </w:tc>
        <w:tc>
          <w:tcPr>
            <w:tcW w:type="dxa" w:w="1296"/>
          </w:tcPr>
          <w:p>
            <w:r/>
            <w:r>
              <w:rPr>
                <w:b/>
                <w:sz w:val="17"/>
              </w:rPr>
              <w:t>CHANGED (condensed)</w:t>
            </w:r>
          </w:p>
        </w:tc>
        <w:tc>
          <w:tcPr>
            <w:tcW w:type="dxa" w:w="3312"/>
          </w:tcPr>
          <w:p>
            <w:r/>
            <w:r>
              <w:rPr>
                <w:sz w:val="17"/>
              </w:rPr>
              <w:t>The Tavistock model is no longer named. Source says “five major models” but lists four groupings — worth clarifying with the client either way.</w:t>
            </w:r>
          </w:p>
        </w:tc>
      </w:tr>
      <w:tr>
        <w:tc>
          <w:tcPr>
            <w:tcW w:type="dxa" w:w="2160"/>
          </w:tcPr>
          <w:p>
            <w:r>
              <w:rPr>
                <w:b/>
                <w:color w:val="C00000"/>
                <w:sz w:val="16"/>
                <w:highlight w:val="yellow"/>
              </w:rPr>
              <w:t>★ CLIENT ITEM 2</w:t>
            </w:r>
          </w:p>
          <w:p>
            <w:r>
              <w:rPr>
                <w:highlight w:val="yellow"/>
              </w:rPr>
            </w:r>
            <w:r>
              <w:rPr>
                <w:b/>
                <w:sz w:val="17"/>
                <w:highlight w:val="yellow"/>
              </w:rPr>
              <w:t>Didactic Component — Part III</w:t>
            </w:r>
          </w:p>
        </w:tc>
        <w:tc>
          <w:tcPr>
            <w:tcW w:type="dxa" w:w="4464"/>
          </w:tcPr>
          <w:p>
            <w:r>
              <w:rPr>
                <w:highlight w:val="yellow"/>
              </w:rPr>
            </w:r>
            <w:r>
              <w:rPr>
                <w:sz w:val="17"/>
                <w:highlight w:val="yellow"/>
              </w:rPr>
              <w:t>Non-psychoanalytic models and how they fit: systems, neuroscience-based, attachment-based/EFT, The Gottman Method, and Wile’s Collaborative Couple Therapy. Dr Nielsen presents his Integrative Couple Therapy model from ‘A Roadmap for Couple Therapy’.</w:t>
            </w:r>
          </w:p>
        </w:tc>
        <w:tc>
          <w:tcPr>
            <w:tcW w:type="dxa" w:w="3600"/>
          </w:tcPr>
          <w:p>
            <w:r>
              <w:rPr>
                <w:highlight w:val="yellow"/>
              </w:rPr>
            </w:r>
            <w:r>
              <w:rPr>
                <w:sz w:val="17"/>
                <w:highlight w:val="yellow"/>
              </w:rPr>
              <w:t>“Phase III — Integrative Approaches: Incorporating systems, neuroscience, EFT, and the Gottman Method into a robust psychoanalytic work model.”</w:t>
            </w:r>
          </w:p>
        </w:tc>
        <w:tc>
          <w:tcPr>
            <w:tcW w:type="dxa" w:w="1296"/>
          </w:tcPr>
          <w:p>
            <w:r>
              <w:rPr>
                <w:highlight w:val="yellow"/>
              </w:rPr>
            </w:r>
            <w:r>
              <w:rPr>
                <w:b/>
                <w:sz w:val="17"/>
                <w:highlight w:val="yellow"/>
              </w:rPr>
              <w:t>MISSING (partial)</w:t>
            </w:r>
          </w:p>
        </w:tc>
        <w:tc>
          <w:tcPr>
            <w:tcW w:type="dxa" w:w="3312"/>
          </w:tcPr>
          <w:p>
            <w:r>
              <w:rPr>
                <w:highlight w:val="yellow"/>
              </w:rPr>
            </w:r>
            <w:r>
              <w:rPr>
                <w:sz w:val="17"/>
                <w:highlight w:val="yellow"/>
              </w:rPr>
              <w:t>Wile’s Collaborative Couple Therapy is dropped, and so is the point that Nielsen teaches his own published model — a differentiator for this program.</w:t>
            </w:r>
          </w:p>
        </w:tc>
      </w:tr>
      <w:tr>
        <w:tc>
          <w:tcPr>
            <w:tcW w:type="dxa" w:w="2160"/>
          </w:tcPr>
          <w:p>
            <w:r/>
            <w:r>
              <w:rPr>
                <w:b/>
                <w:sz w:val="17"/>
              </w:rPr>
              <w:t>Didactic Component — Part IV</w:t>
            </w:r>
          </w:p>
        </w:tc>
        <w:tc>
          <w:tcPr>
            <w:tcW w:type="dxa" w:w="4464"/>
          </w:tcPr>
          <w:p>
            <w:r/>
            <w:r>
              <w:rPr>
                <w:sz w:val="17"/>
              </w:rPr>
              <w:t>Applications to specific populations/problems: same-sex couples; multicultural, inter-cultural or inter-racial couples; older adult couples; high-conflict couples; and couples dealing with infidelity, sexual difficulties, illness, disability, substance abuse or trauma histories, plus conflict about parenting, money or blended-family issues.</w:t>
            </w:r>
          </w:p>
        </w:tc>
        <w:tc>
          <w:tcPr>
            <w:tcW w:type="dxa" w:w="3600"/>
          </w:tcPr>
          <w:p>
            <w:r/>
            <w:r>
              <w:rPr>
                <w:sz w:val="17"/>
              </w:rPr>
              <w:t>“Phase IV — Clinical Application: Applying theory to same-sex, multicultural, older adult, high-conflict, and traumatized couples in active treatment.”</w:t>
            </w:r>
          </w:p>
        </w:tc>
        <w:tc>
          <w:tcPr>
            <w:tcW w:type="dxa" w:w="1296"/>
          </w:tcPr>
          <w:p>
            <w:r/>
            <w:r>
              <w:rPr>
                <w:b/>
                <w:sz w:val="17"/>
              </w:rPr>
              <w:t>MISSING (partial)</w:t>
            </w:r>
          </w:p>
        </w:tc>
        <w:tc>
          <w:tcPr>
            <w:tcW w:type="dxa" w:w="3312"/>
          </w:tcPr>
          <w:p>
            <w:r/>
            <w:r>
              <w:rPr>
                <w:sz w:val="17"/>
              </w:rPr>
              <w:t>Dropped: infidelity, sexual difficulties, illness, disability, substance abuse, parenting, money, blended families. These are high-intent search terms and the most concrete proof of curriculum breadth.</w:t>
            </w:r>
          </w:p>
        </w:tc>
      </w:tr>
      <w:tr>
        <w:tc>
          <w:tcPr>
            <w:tcW w:type="dxa" w:w="2160"/>
          </w:tcPr>
          <w:p>
            <w:r/>
            <w:r>
              <w:rPr>
                <w:b/>
                <w:sz w:val="17"/>
              </w:rPr>
              <w:t>Reading load, books and syllabus</w:t>
            </w:r>
          </w:p>
        </w:tc>
        <w:tc>
          <w:tcPr>
            <w:tcW w:type="dxa" w:w="4464"/>
          </w:tcPr>
          <w:p>
            <w:r/>
            <w:r>
              <w:rPr>
                <w:sz w:val="17"/>
              </w:rPr>
              <w:t>“One to two articles or chapters are assigned, typically no more than 50 pages per week…” Students purchase three paperback books; all other readings and the syllabus are accessed through Blackbaud. A partial syllabus is available on request; full syllabus and reading list on acceptance and initial deposit.</w:t>
            </w:r>
          </w:p>
        </w:tc>
        <w:tc>
          <w:tcPr>
            <w:tcW w:type="dxa" w:w="3600"/>
          </w:tcPr>
          <w:p>
            <w:r/>
            <w:r>
              <w:rPr>
                <w:sz w:val="17"/>
              </w:rPr>
              <w:t>Not present anywhere on the page.</w:t>
            </w:r>
          </w:p>
        </w:tc>
        <w:tc>
          <w:tcPr>
            <w:tcW w:type="dxa" w:w="1296"/>
          </w:tcPr>
          <w:p>
            <w:r/>
            <w:r>
              <w:rPr>
                <w:b/>
                <w:sz w:val="17"/>
              </w:rPr>
              <w:t>MISSING</w:t>
            </w:r>
          </w:p>
        </w:tc>
        <w:tc>
          <w:tcPr>
            <w:tcW w:type="dxa" w:w="3312"/>
          </w:tcPr>
          <w:p>
            <w:r/>
            <w:r>
              <w:rPr>
                <w:sz w:val="17"/>
              </w:rPr>
              <w:t>HIGH PRIORITY for prospective students assessing workload and cost. Restore the reading load, the three-book purchase requirement, Blackbaud access, and the partial-syllabus-on-request offer.</w:t>
            </w:r>
          </w:p>
        </w:tc>
      </w:tr>
      <w:tr>
        <w:tc>
          <w:tcPr>
            <w:tcW w:type="dxa" w:w="2160"/>
          </w:tcPr>
          <w:p>
            <w:r>
              <w:rPr>
                <w:b/>
                <w:color w:val="C00000"/>
                <w:sz w:val="16"/>
                <w:highlight w:val="yellow"/>
              </w:rPr>
              <w:t>★ CLIENT ITEM 1, 5</w:t>
            </w:r>
          </w:p>
          <w:p>
            <w:r>
              <w:rPr>
                <w:highlight w:val="yellow"/>
              </w:rPr>
            </w:r>
            <w:r>
              <w:rPr>
                <w:b/>
                <w:sz w:val="17"/>
                <w:highlight w:val="yellow"/>
              </w:rPr>
              <w:t>Class count / guest lecturer split</w:t>
            </w:r>
          </w:p>
        </w:tc>
        <w:tc>
          <w:tcPr>
            <w:tcW w:type="dxa" w:w="4464"/>
          </w:tcPr>
          <w:p>
            <w:r>
              <w:rPr>
                <w:highlight w:val="yellow"/>
              </w:rPr>
            </w:r>
            <w:r>
              <w:rPr>
                <w:sz w:val="17"/>
                <w:highlight w:val="yellow"/>
              </w:rPr>
              <w:t>“Of the 29 classes, 10 are presented by guest lecturers (with one or more core faculty also present to facilitate) and the remaining 18 by core faculty members Leone, Nielsen and Bloomberg.”</w:t>
            </w:r>
          </w:p>
        </w:tc>
        <w:tc>
          <w:tcPr>
            <w:tcW w:type="dxa" w:w="3600"/>
          </w:tcPr>
          <w:p>
            <w:r>
              <w:rPr>
                <w:highlight w:val="yellow"/>
              </w:rPr>
            </w:r>
            <w:r>
              <w:rPr>
                <w:sz w:val="17"/>
                <w:highlight w:val="yellow"/>
              </w:rPr>
              <w:t>“12 of the 28 classes are taught by renowned guest speakers, including Phil Ringstrom, David Shaddock, and Patricia Papernow…”</w:t>
            </w:r>
          </w:p>
        </w:tc>
        <w:tc>
          <w:tcPr>
            <w:tcW w:type="dxa" w:w="1296"/>
          </w:tcPr>
          <w:p>
            <w:r>
              <w:rPr>
                <w:highlight w:val="yellow"/>
              </w:rPr>
            </w:r>
            <w:r>
              <w:rPr>
                <w:b/>
                <w:sz w:val="17"/>
                <w:highlight w:val="yellow"/>
              </w:rPr>
              <w:t>CONFLICT</w:t>
            </w:r>
          </w:p>
        </w:tc>
        <w:tc>
          <w:tcPr>
            <w:tcW w:type="dxa" w:w="3312"/>
          </w:tcPr>
          <w:p>
            <w:r>
              <w:rPr>
                <w:highlight w:val="yellow"/>
              </w:rPr>
            </w:r>
            <w:r>
              <w:rPr>
                <w:sz w:val="17"/>
                <w:highlight w:val="yellow"/>
              </w:rPr>
              <w:t>Numbers do not match the source: 12 vs 10 guest-led, 28 vs 29 total. The new page also singles out three named guest lecturers as if confirmed for the coming cohort; the source only lists lecturers “to date.” Verify the real figures before publishing. (Note the source itself is internally inconsistent: 10 + 18 = 28, not 29.)</w:t>
            </w:r>
          </w:p>
        </w:tc>
      </w:tr>
      <w:tr>
        <w:tc>
          <w:tcPr>
            <w:tcW w:type="dxa" w:w="2160"/>
          </w:tcPr>
          <w:p>
            <w:r>
              <w:rPr>
                <w:b/>
                <w:color w:val="C00000"/>
                <w:sz w:val="16"/>
                <w:highlight w:val="yellow"/>
              </w:rPr>
              <w:t>★ CLIENT ITEM 5</w:t>
            </w:r>
          </w:p>
          <w:p>
            <w:r>
              <w:rPr>
                <w:highlight w:val="yellow"/>
              </w:rPr>
            </w:r>
            <w:r>
              <w:rPr>
                <w:b/>
                <w:sz w:val="17"/>
                <w:highlight w:val="yellow"/>
              </w:rPr>
              <w:t>Guest lecturer list</w:t>
            </w:r>
          </w:p>
        </w:tc>
        <w:tc>
          <w:tcPr>
            <w:tcW w:type="dxa" w:w="4464"/>
          </w:tcPr>
          <w:p>
            <w:r>
              <w:rPr>
                <w:highlight w:val="yellow"/>
              </w:rPr>
            </w:r>
            <w:r>
              <w:rPr>
                <w:sz w:val="17"/>
                <w:highlight w:val="yellow"/>
              </w:rPr>
              <w:t>17 names listed (Fishbane through Avigan).</w:t>
            </w:r>
          </w:p>
        </w:tc>
        <w:tc>
          <w:tcPr>
            <w:tcW w:type="dxa" w:w="3600"/>
          </w:tcPr>
          <w:p>
            <w:r>
              <w:rPr>
                <w:highlight w:val="yellow"/>
              </w:rPr>
            </w:r>
            <w:r>
              <w:rPr>
                <w:sz w:val="17"/>
                <w:highlight w:val="yellow"/>
              </w:rPr>
              <w:t>Same 17 names, same order.</w:t>
            </w:r>
          </w:p>
        </w:tc>
        <w:tc>
          <w:tcPr>
            <w:tcW w:type="dxa" w:w="1296"/>
          </w:tcPr>
          <w:p>
            <w:r>
              <w:rPr>
                <w:highlight w:val="yellow"/>
              </w:rPr>
            </w:r>
            <w:r>
              <w:rPr>
                <w:b/>
                <w:sz w:val="17"/>
                <w:highlight w:val="yellow"/>
              </w:rPr>
              <w:t>OK</w:t>
            </w:r>
          </w:p>
        </w:tc>
        <w:tc>
          <w:tcPr>
            <w:tcW w:type="dxa" w:w="3312"/>
          </w:tcPr>
          <w:p>
            <w:r>
              <w:rPr>
                <w:highlight w:val="yellow"/>
              </w:rPr>
            </w:r>
            <w:r>
              <w:rPr>
                <w:sz w:val="17"/>
                <w:highlight w:val="yellow"/>
              </w:rPr>
              <w:t>No action.</w:t>
            </w:r>
          </w:p>
        </w:tc>
      </w:tr>
      <w:tr>
        <w:tc>
          <w:tcPr>
            <w:tcW w:type="dxa" w:w="2160"/>
          </w:tcPr>
          <w:p>
            <w:r>
              <w:rPr>
                <w:b/>
                <w:color w:val="C00000"/>
                <w:sz w:val="16"/>
                <w:highlight w:val="yellow"/>
              </w:rPr>
              <w:t>★ CLIENT ITEM 1</w:t>
            </w:r>
          </w:p>
          <w:p>
            <w:r>
              <w:rPr>
                <w:highlight w:val="yellow"/>
              </w:rPr>
            </w:r>
            <w:r>
              <w:rPr>
                <w:b/>
                <w:sz w:val="17"/>
                <w:highlight w:val="yellow"/>
              </w:rPr>
              <w:t>Case Conference Component</w:t>
            </w:r>
          </w:p>
        </w:tc>
        <w:tc>
          <w:tcPr>
            <w:tcW w:type="dxa" w:w="4464"/>
          </w:tcPr>
          <w:p>
            <w:r>
              <w:rPr>
                <w:highlight w:val="yellow"/>
              </w:rPr>
            </w:r>
            <w:r>
              <w:rPr>
                <w:sz w:val="17"/>
                <w:highlight w:val="yellow"/>
              </w:rPr>
              <w:t>Of the 29 Thursday morning classes, 18 include 90 minutes of lecture followed by 75 minutes of case conference after a break. Students split into two small groups of 5–7 and present a case three times over the year, once to each core faculty member. Each presentation requires a 2–3 page write-up (background, course of treatment, clinical question) circulated in advance. A core faculty member responds and facilitates discussion; didactic material is linked to clinical examples.</w:t>
            </w:r>
          </w:p>
        </w:tc>
        <w:tc>
          <w:tcPr>
            <w:tcW w:type="dxa" w:w="3600"/>
          </w:tcPr>
          <w:p>
            <w:r>
              <w:rPr>
                <w:highlight w:val="yellow"/>
              </w:rPr>
            </w:r>
            <w:r>
              <w:rPr>
                <w:sz w:val="17"/>
                <w:highlight w:val="yellow"/>
              </w:rPr>
              <w:t>One line: “Case Conferences — 75 minutes of small-group case presentation, peer feedback, and deep clinical discussion.”</w:t>
            </w:r>
          </w:p>
        </w:tc>
        <w:tc>
          <w:tcPr>
            <w:tcW w:type="dxa" w:w="1296"/>
          </w:tcPr>
          <w:p>
            <w:r>
              <w:rPr>
                <w:highlight w:val="yellow"/>
              </w:rPr>
            </w:r>
            <w:r>
              <w:rPr>
                <w:b/>
                <w:sz w:val="17"/>
                <w:highlight w:val="yellow"/>
              </w:rPr>
              <w:t>MISSING</w:t>
            </w:r>
          </w:p>
        </w:tc>
        <w:tc>
          <w:tcPr>
            <w:tcW w:type="dxa" w:w="3312"/>
          </w:tcPr>
          <w:p>
            <w:r>
              <w:rPr>
                <w:highlight w:val="yellow"/>
              </w:rPr>
            </w:r>
            <w:r>
              <w:rPr>
                <w:sz w:val="17"/>
                <w:highlight w:val="yellow"/>
              </w:rPr>
              <w:t>Dropped: group size (5–7), two groups, three presentations per student, one to each core faculty, the 2–3 page write-up requirement, and advance circulation. This is a core selling point and a real workload commitment — restore.</w:t>
            </w:r>
          </w:p>
        </w:tc>
      </w:tr>
      <w:tr>
        <w:tc>
          <w:tcPr>
            <w:tcW w:type="dxa" w:w="2160"/>
          </w:tcPr>
          <w:p>
            <w:r>
              <w:rPr>
                <w:b/>
                <w:color w:val="C00000"/>
                <w:sz w:val="16"/>
                <w:highlight w:val="yellow"/>
              </w:rPr>
              <w:t>★ CLIENT ITEM 5</w:t>
            </w:r>
          </w:p>
          <w:p>
            <w:r>
              <w:rPr>
                <w:highlight w:val="yellow"/>
              </w:rPr>
            </w:r>
            <w:r>
              <w:rPr>
                <w:b/>
                <w:sz w:val="17"/>
                <w:highlight w:val="yellow"/>
              </w:rPr>
              <w:t>Individual Consultation Component</w:t>
            </w:r>
          </w:p>
        </w:tc>
        <w:tc>
          <w:tcPr>
            <w:tcW w:type="dxa" w:w="4464"/>
          </w:tcPr>
          <w:p>
            <w:r>
              <w:rPr>
                <w:highlight w:val="yellow"/>
              </w:rPr>
            </w:r>
            <w:r>
              <w:rPr>
                <w:sz w:val="17"/>
                <w:highlight w:val="yellow"/>
              </w:rPr>
              <w:t>Each student is assigned an individual case consultant, meeting at least ten times over the academic year, roughly every other week, at a time arranged separately and outside Thursday class time. All consultants are very experienced psychoanalytic couple therapists and clinical supervisors offering reduced rates. Recommendation: follow one or two couples with the consultant all year, and present three different couples across the case conferences.</w:t>
            </w:r>
          </w:p>
        </w:tc>
        <w:tc>
          <w:tcPr>
            <w:tcW w:type="dxa" w:w="3600"/>
          </w:tcPr>
          <w:p>
            <w:r>
              <w:rPr>
                <w:highlight w:val="yellow"/>
              </w:rPr>
            </w:r>
            <w:r>
              <w:rPr>
                <w:sz w:val="17"/>
                <w:highlight w:val="yellow"/>
              </w:rPr>
              <w:t>One line: “Individual Consultation — 10+ sessions with an expert psychoanalytic couple therapist throughout the academic year.” Plus, under Adjunct Clinical Consultants: “All consultants are very experienced couple therapists and clinical supervisors who are offering their time at a reduced rate to support the mission of this program.”</w:t>
            </w:r>
          </w:p>
        </w:tc>
        <w:tc>
          <w:tcPr>
            <w:tcW w:type="dxa" w:w="1296"/>
          </w:tcPr>
          <w:p>
            <w:r>
              <w:rPr>
                <w:highlight w:val="yellow"/>
              </w:rPr>
            </w:r>
            <w:r>
              <w:rPr>
                <w:b/>
                <w:sz w:val="17"/>
                <w:highlight w:val="yellow"/>
              </w:rPr>
              <w:t>MISSING + DUPLICATE</w:t>
            </w:r>
          </w:p>
        </w:tc>
        <w:tc>
          <w:tcPr>
            <w:tcW w:type="dxa" w:w="3312"/>
          </w:tcPr>
          <w:p>
            <w:r>
              <w:rPr>
                <w:highlight w:val="yellow"/>
              </w:rPr>
            </w:r>
            <w:r>
              <w:rPr>
                <w:sz w:val="17"/>
                <w:highlight w:val="yellow"/>
              </w:rPr>
              <w:t>Dropped: the every-other-week cadence, that sessions are scheduled outside class time, and the guidance on which couples to bring. Also: the word “psychoanalytic” was removed from the consultant description, and that sentence is printed TWICE in a row on the new page — visible duplication bug, fix immediately.</w:t>
            </w:r>
          </w:p>
        </w:tc>
      </w:tr>
      <w:tr>
        <w:tc>
          <w:tcPr>
            <w:tcW w:type="dxa" w:w="2160"/>
          </w:tcPr>
          <w:p>
            <w:r>
              <w:rPr>
                <w:b/>
                <w:color w:val="C00000"/>
                <w:sz w:val="16"/>
                <w:highlight w:val="yellow"/>
              </w:rPr>
              <w:t>★ CLIENT ITEM 5</w:t>
            </w:r>
          </w:p>
          <w:p>
            <w:r>
              <w:rPr>
                <w:highlight w:val="yellow"/>
              </w:rPr>
            </w:r>
            <w:r>
              <w:rPr>
                <w:b/>
                <w:sz w:val="17"/>
                <w:highlight w:val="yellow"/>
              </w:rPr>
              <w:t>Adjunct Clinical Consultants list</w:t>
            </w:r>
          </w:p>
        </w:tc>
        <w:tc>
          <w:tcPr>
            <w:tcW w:type="dxa" w:w="4464"/>
          </w:tcPr>
          <w:p>
            <w:r>
              <w:rPr>
                <w:highlight w:val="yellow"/>
              </w:rPr>
            </w:r>
            <w:r>
              <w:rPr>
                <w:sz w:val="17"/>
                <w:highlight w:val="yellow"/>
              </w:rPr>
              <w:t>Heading reads “Adjunct Clinical Consultants 2025-26 and continuing to 2026-27”, followed by 12 names with credentials (incl. “Karen Bloomberg, PhD”).</w:t>
            </w:r>
          </w:p>
        </w:tc>
        <w:tc>
          <w:tcPr>
            <w:tcW w:type="dxa" w:w="3600"/>
          </w:tcPr>
          <w:p>
            <w:r>
              <w:rPr>
                <w:highlight w:val="yellow"/>
              </w:rPr>
            </w:r>
            <w:r>
              <w:rPr>
                <w:sz w:val="17"/>
                <w:highlight w:val="yellow"/>
              </w:rPr>
              <w:t>Heading reads “Adjunct Clinical Consultants”; same 12 names, credentials shown on separate lines. “Karen Bloomberg” appears as “Dr. Karen Bloomberg Ph.D”.</w:t>
            </w:r>
          </w:p>
        </w:tc>
        <w:tc>
          <w:tcPr>
            <w:tcW w:type="dxa" w:w="1296"/>
          </w:tcPr>
          <w:p>
            <w:r>
              <w:rPr>
                <w:highlight w:val="yellow"/>
              </w:rPr>
            </w:r>
            <w:r>
              <w:rPr>
                <w:b/>
                <w:sz w:val="17"/>
                <w:highlight w:val="yellow"/>
              </w:rPr>
              <w:t>CHANGED (minor)</w:t>
            </w:r>
          </w:p>
        </w:tc>
        <w:tc>
          <w:tcPr>
            <w:tcW w:type="dxa" w:w="3312"/>
          </w:tcPr>
          <w:p>
            <w:r>
              <w:rPr>
                <w:highlight w:val="yellow"/>
              </w:rPr>
            </w:r>
            <w:r>
              <w:rPr>
                <w:sz w:val="17"/>
                <w:highlight w:val="yellow"/>
              </w:rPr>
              <w:t>Academic-year range dropped — add it back if ICSW wants the roster dated. Standardise credential punctuation (“Ph.D” vs “Ph.D.” vs “PhD” is inconsistent across the new list).</w:t>
            </w:r>
          </w:p>
        </w:tc>
      </w:tr>
      <w:tr>
        <w:tc>
          <w:tcPr>
            <w:tcW w:type="dxa" w:w="2160"/>
          </w:tcPr>
          <w:p>
            <w:r/>
            <w:r>
              <w:rPr>
                <w:b/>
                <w:sz w:val="17"/>
              </w:rPr>
              <w:t>Capstone Paper Component</w:t>
            </w:r>
          </w:p>
        </w:tc>
        <w:tc>
          <w:tcPr>
            <w:tcW w:type="dxa" w:w="4464"/>
          </w:tcPr>
          <w:p>
            <w:r/>
            <w:r>
              <w:rPr>
                <w:sz w:val="17"/>
              </w:rPr>
              <w:t>5–8 page paper articulating a personal theoretical approach, how it changed over the program, applied to a clinical case. Second option: submit a draft paper for publication. Core faculty read and respond to every paper. One past submission led to a paper published in the peer-reviewed journal ‘Psychoanalysis, Self and Context’.</w:t>
            </w:r>
          </w:p>
        </w:tc>
        <w:tc>
          <w:tcPr>
            <w:tcW w:type="dxa" w:w="3600"/>
          </w:tcPr>
          <w:p>
            <w:r/>
            <w:r>
              <w:rPr>
                <w:sz w:val="17"/>
              </w:rPr>
              <w:t>One line: “Capstone Paper — A 5–8 page paper articulating your personal theoretical approach alongside a clinical case illustration.”</w:t>
            </w:r>
          </w:p>
        </w:tc>
        <w:tc>
          <w:tcPr>
            <w:tcW w:type="dxa" w:w="1296"/>
          </w:tcPr>
          <w:p>
            <w:r/>
            <w:r>
              <w:rPr>
                <w:b/>
                <w:sz w:val="17"/>
              </w:rPr>
              <w:t>MISSING</w:t>
            </w:r>
          </w:p>
        </w:tc>
        <w:tc>
          <w:tcPr>
            <w:tcW w:type="dxa" w:w="3312"/>
          </w:tcPr>
          <w:p>
            <w:r/>
            <w:r>
              <w:rPr>
                <w:sz w:val="17"/>
              </w:rPr>
              <w:t>Dropped: the publication-track option, the promise that core faculty read and respond to each paper, and the published-in-a-peer-reviewed-journal proof point. All three are strong differentiators.</w:t>
            </w:r>
          </w:p>
        </w:tc>
      </w:tr>
      <w:tr>
        <w:tc>
          <w:tcPr>
            <w:tcW w:type="dxa" w:w="2160"/>
          </w:tcPr>
          <w:p>
            <w:r/>
            <w:r>
              <w:rPr>
                <w:b/>
                <w:sz w:val="17"/>
              </w:rPr>
              <w:t>Testimonials</w:t>
            </w:r>
          </w:p>
        </w:tc>
        <w:tc>
          <w:tcPr>
            <w:tcW w:type="dxa" w:w="4464"/>
          </w:tcPr>
          <w:p>
            <w:r/>
            <w:r>
              <w:rPr>
                <w:sz w:val="17"/>
              </w:rPr>
              <w:t>Two full quotes. Attributed to “Todd Frugia, MFA, MA, LCPC | Chicago Talk Therapy” and “Ying-Ling Liu | Taipei, Taiwan”.</w:t>
            </w:r>
          </w:p>
        </w:tc>
        <w:tc>
          <w:tcPr>
            <w:tcW w:type="dxa" w:w="3600"/>
          </w:tcPr>
          <w:p>
            <w:r/>
            <w:r>
              <w:rPr>
                <w:sz w:val="17"/>
              </w:rPr>
              <w:t>Both quotes truncated with “…”. Attributed to “Todd Derrick Frugia, MFA, MA, LCPC” and “Ying-Ling Liu” (no credentials or location).</w:t>
            </w:r>
          </w:p>
        </w:tc>
        <w:tc>
          <w:tcPr>
            <w:tcW w:type="dxa" w:w="1296"/>
          </w:tcPr>
          <w:p>
            <w:r/>
            <w:r>
              <w:rPr>
                <w:b/>
                <w:sz w:val="17"/>
              </w:rPr>
              <w:t>CHANGED</w:t>
            </w:r>
          </w:p>
        </w:tc>
        <w:tc>
          <w:tcPr>
            <w:tcW w:type="dxa" w:w="3312"/>
          </w:tcPr>
          <w:p>
            <w:r/>
            <w:r>
              <w:rPr>
                <w:sz w:val="17"/>
              </w:rPr>
              <w:t>Restore the full quote text — the truncation cuts the Liu quote mid-point and removes the strongest line (“I soon found more referrals coming my way as a direct result”). Restore “Chicago Talk Therapy” and “Taipei, Taiwan” (the international attribution supports the “5 countries” claim). Confirm whether the name is “Todd Frugia” or “Todd Derrick Frugia”.</w:t>
            </w:r>
          </w:p>
        </w:tc>
      </w:tr>
      <w:tr>
        <w:tc>
          <w:tcPr>
            <w:tcW w:type="dxa" w:w="2160"/>
          </w:tcPr>
          <w:p>
            <w:r>
              <w:rPr>
                <w:b/>
                <w:color w:val="C00000"/>
                <w:sz w:val="16"/>
                <w:highlight w:val="yellow"/>
              </w:rPr>
              <w:t>★ CLIENT ITEM 4</w:t>
            </w:r>
          </w:p>
          <w:p>
            <w:r>
              <w:rPr>
                <w:highlight w:val="yellow"/>
              </w:rPr>
            </w:r>
            <w:r>
              <w:rPr>
                <w:b/>
                <w:sz w:val="17"/>
                <w:highlight w:val="yellow"/>
              </w:rPr>
              <w:t>Learning Objectives</w:t>
            </w:r>
          </w:p>
        </w:tc>
        <w:tc>
          <w:tcPr>
            <w:tcW w:type="dxa" w:w="4464"/>
          </w:tcPr>
          <w:p>
            <w:r>
              <w:rPr>
                <w:highlight w:val="yellow"/>
              </w:rPr>
            </w:r>
            <w:r>
              <w:rPr>
                <w:sz w:val="17"/>
                <w:highlight w:val="yellow"/>
              </w:rPr>
              <w:t>Six objectives, full sentences, including “Describe how non-psychoanalytic approaches or interventions such as psychoeducation can be incorporated…” and “Articulate their personal theoretical orientation… (highlighting the psychoanalytic components, if integrative).”</w:t>
            </w:r>
          </w:p>
        </w:tc>
        <w:tc>
          <w:tcPr>
            <w:tcW w:type="dxa" w:w="3600"/>
          </w:tcPr>
          <w:p>
            <w:r>
              <w:rPr>
                <w:highlight w:val="yellow"/>
              </w:rPr>
            </w:r>
            <w:r>
              <w:rPr>
                <w:sz w:val="17"/>
                <w:highlight w:val="yellow"/>
              </w:rPr>
              <w:t>Six bullets under “Professional Capabilities Achieved”, reworded into shorter phrases.</w:t>
            </w:r>
          </w:p>
        </w:tc>
        <w:tc>
          <w:tcPr>
            <w:tcW w:type="dxa" w:w="1296"/>
          </w:tcPr>
          <w:p>
            <w:r>
              <w:rPr>
                <w:highlight w:val="yellow"/>
              </w:rPr>
            </w:r>
            <w:r>
              <w:rPr>
                <w:b/>
                <w:sz w:val="17"/>
                <w:highlight w:val="yellow"/>
              </w:rPr>
              <w:t>CHANGED (minor)</w:t>
            </w:r>
          </w:p>
        </w:tc>
        <w:tc>
          <w:tcPr>
            <w:tcW w:type="dxa" w:w="3312"/>
          </w:tcPr>
          <w:p>
            <w:r>
              <w:rPr>
                <w:highlight w:val="yellow"/>
              </w:rPr>
            </w:r>
            <w:r>
              <w:rPr>
                <w:sz w:val="17"/>
                <w:highlight w:val="yellow"/>
              </w:rPr>
              <w:t>All six survive. Dropped details: the “such as psychoeducation” example and the “highlighting the psychoanalytic components, if integrative” qualifier.</w:t>
            </w:r>
          </w:p>
        </w:tc>
      </w:tr>
      <w:tr>
        <w:tc>
          <w:tcPr>
            <w:tcW w:type="dxa" w:w="2160"/>
          </w:tcPr>
          <w:p>
            <w:r/>
            <w:r>
              <w:rPr>
                <w:b/>
                <w:sz w:val="17"/>
              </w:rPr>
              <w:t>Requirements for Program Completion</w:t>
            </w:r>
          </w:p>
        </w:tc>
        <w:tc>
          <w:tcPr>
            <w:tcW w:type="dxa" w:w="4464"/>
          </w:tcPr>
          <w:p>
            <w:r/>
            <w:r>
              <w:rPr>
                <w:sz w:val="17"/>
              </w:rPr>
              <w:t>Certificate awarded on demonstrated mastery through class participation, written and oral case presentations, and completion of a final capstone paper. Students must have worked with at least two couples throughout the program.</w:t>
            </w:r>
          </w:p>
        </w:tc>
        <w:tc>
          <w:tcPr>
            <w:tcW w:type="dxa" w:w="3600"/>
          </w:tcPr>
          <w:p>
            <w:r/>
            <w:r>
              <w:rPr>
                <w:sz w:val="17"/>
              </w:rPr>
              <w:t>“Demonstrated Competence — Accreditation outputs require consistent attendance, robust class participation, active case presentations, and a finalized Related Experience Essay.”</w:t>
            </w:r>
          </w:p>
        </w:tc>
        <w:tc>
          <w:tcPr>
            <w:tcW w:type="dxa" w:w="1296"/>
          </w:tcPr>
          <w:p>
            <w:r/>
            <w:r>
              <w:rPr>
                <w:b/>
                <w:sz w:val="17"/>
              </w:rPr>
              <w:t>CONFLICT</w:t>
            </w:r>
          </w:p>
        </w:tc>
        <w:tc>
          <w:tcPr>
            <w:tcW w:type="dxa" w:w="3312"/>
          </w:tcPr>
          <w:p>
            <w:r/>
            <w:r>
              <w:rPr>
                <w:sz w:val="17"/>
              </w:rPr>
              <w:t>“Related Experience Essay” does not exist in the source — the requirement is the capstone paper. Also “accreditation outputs” is the wrong word for a certificate of completion and could be read as an accreditation claim. Rewrite using the source terms.</w:t>
            </w:r>
          </w:p>
        </w:tc>
      </w:tr>
      <w:tr>
        <w:tc>
          <w:tcPr>
            <w:tcW w:type="dxa" w:w="2160"/>
          </w:tcPr>
          <w:p>
            <w:r>
              <w:rPr>
                <w:b/>
                <w:color w:val="C00000"/>
                <w:sz w:val="16"/>
                <w:highlight w:val="yellow"/>
              </w:rPr>
              <w:t>★ CLIENT ITEM 1</w:t>
            </w:r>
          </w:p>
          <w:p>
            <w:r>
              <w:rPr>
                <w:highlight w:val="yellow"/>
              </w:rPr>
            </w:r>
            <w:r>
              <w:rPr>
                <w:b/>
                <w:sz w:val="17"/>
                <w:highlight w:val="yellow"/>
              </w:rPr>
              <w:t>Continuing Education / CEs</w:t>
            </w:r>
          </w:p>
        </w:tc>
        <w:tc>
          <w:tcPr>
            <w:tcW w:type="dxa" w:w="4464"/>
          </w:tcPr>
          <w:p>
            <w:r>
              <w:rPr>
                <w:highlight w:val="yellow"/>
              </w:rPr>
            </w:r>
            <w:r>
              <w:rPr>
                <w:sz w:val="17"/>
                <w:highlight w:val="yellow"/>
              </w:rPr>
              <w:t>“The program consists of 28 three-hour classes, for which a total of 84 CEUs may be earned, if all sessions are attended (plus a wrap-up and good-bye class for which CEs are not awarded). CEs are not available for individual consultation hours.” Heading links to /continuing-education.</w:t>
            </w:r>
          </w:p>
        </w:tc>
        <w:tc>
          <w:tcPr>
            <w:tcW w:type="dxa" w:w="3600"/>
          </w:tcPr>
          <w:p>
            <w:r>
              <w:rPr>
                <w:highlight w:val="yellow"/>
              </w:rPr>
            </w:r>
            <w:r>
              <w:rPr>
                <w:sz w:val="17"/>
                <w:highlight w:val="yellow"/>
              </w:rPr>
              <w:t>“Up to 84 CE Hours available (earned across 28 rigorous three-hour classes)” and “28 classes plus a dedicated wrap-up session”.</w:t>
            </w:r>
          </w:p>
        </w:tc>
        <w:tc>
          <w:tcPr>
            <w:tcW w:type="dxa" w:w="1296"/>
          </w:tcPr>
          <w:p>
            <w:r>
              <w:rPr>
                <w:highlight w:val="yellow"/>
              </w:rPr>
            </w:r>
            <w:r>
              <w:rPr>
                <w:b/>
                <w:sz w:val="17"/>
                <w:highlight w:val="yellow"/>
              </w:rPr>
              <w:t>MISSING</w:t>
            </w:r>
          </w:p>
        </w:tc>
        <w:tc>
          <w:tcPr>
            <w:tcW w:type="dxa" w:w="3312"/>
          </w:tcPr>
          <w:p>
            <w:r>
              <w:rPr>
                <w:highlight w:val="yellow"/>
              </w:rPr>
            </w:r>
            <w:r>
              <w:rPr>
                <w:sz w:val="17"/>
                <w:highlight w:val="yellow"/>
              </w:rPr>
              <w:t>The disclosure “CEs are not available for individual consultation hours” is gone. That is a compliance-relevant statement for a CE provider — restore it. Also restore the link to the Continuing Education hub page.</w:t>
            </w:r>
          </w:p>
        </w:tc>
      </w:tr>
      <w:tr>
        <w:tc>
          <w:tcPr>
            <w:tcW w:type="dxa" w:w="2160"/>
          </w:tcPr>
          <w:p>
            <w:r/>
            <w:r>
              <w:rPr>
                <w:b/>
                <w:sz w:val="17"/>
              </w:rPr>
              <w:t>Eligibility</w:t>
            </w:r>
          </w:p>
        </w:tc>
        <w:tc>
          <w:tcPr>
            <w:tcW w:type="dxa" w:w="4464"/>
          </w:tcPr>
          <w:p>
            <w:r/>
            <w:r>
              <w:rPr>
                <w:sz w:val="17"/>
              </w:rPr>
              <w:t>“Licensed master’s and doctoral level clinicians with at least two years’ experience as therapists, who have already developed solid skills in conducting individual psychotherapy… Applicants should have either some previous exposure to psychoanalytic theory, some experience and training in couple therapy… or both, and be highly likely to be treating at least two couples throughout the program. Some assistance obtaining couple referrals (probably low fee) may be available for US applicants who meet all other admission criteria except the requirement to have at least two couples in treatment.”</w:t>
            </w:r>
          </w:p>
        </w:tc>
        <w:tc>
          <w:tcPr>
            <w:tcW w:type="dxa" w:w="3600"/>
          </w:tcPr>
          <w:p>
            <w:r/>
            <w:r>
              <w:rPr>
                <w:sz w:val="17"/>
              </w:rPr>
              <w:t>“Designed for licensed master’s or doctoral-level clinicians, preferably with a minimum of two years of post-licensure experience. Also open to equivalent backgrounds (e.g. couples/family therapy, sexuality studies). Requirement waiver may be assessed on a case-by-case basis.”</w:t>
            </w:r>
          </w:p>
        </w:tc>
        <w:tc>
          <w:tcPr>
            <w:tcW w:type="dxa" w:w="1296"/>
          </w:tcPr>
          <w:p>
            <w:r/>
            <w:r>
              <w:rPr>
                <w:b/>
                <w:sz w:val="17"/>
              </w:rPr>
              <w:t>CONFLICT / MISSING</w:t>
            </w:r>
          </w:p>
        </w:tc>
        <w:tc>
          <w:tcPr>
            <w:tcW w:type="dxa" w:w="3312"/>
          </w:tcPr>
          <w:p>
            <w:r/>
            <w:r>
              <w:rPr>
                <w:sz w:val="17"/>
              </w:rPr>
              <w:t>HIGH PRIORITY. Three substantive changes not supported by the source: (1) “at least two years’ experience as therapists” became “preferably… post-licensure experience” — a softer and different bar; (2) “sexuality studies” and a case-by-case waiver policy are new; (3) the prior-exposure-to-psychoanalytic-theory requirement and the referral-assistance offer for US applicants are both dropped. Get ICSW to confirm or revert.</w:t>
            </w:r>
          </w:p>
        </w:tc>
      </w:tr>
      <w:tr>
        <w:tc>
          <w:tcPr>
            <w:tcW w:type="dxa" w:w="2160"/>
          </w:tcPr>
          <w:p>
            <w:r>
              <w:rPr>
                <w:b/>
                <w:color w:val="C00000"/>
                <w:sz w:val="16"/>
                <w:highlight w:val="yellow"/>
              </w:rPr>
              <w:t>★ CLIENT ITEM 3</w:t>
            </w:r>
          </w:p>
          <w:p>
            <w:r>
              <w:rPr>
                <w:highlight w:val="yellow"/>
              </w:rPr>
            </w:r>
            <w:r>
              <w:rPr>
                <w:b/>
                <w:sz w:val="17"/>
                <w:highlight w:val="yellow"/>
              </w:rPr>
              <w:t>Application steps</w:t>
            </w:r>
          </w:p>
        </w:tc>
        <w:tc>
          <w:tcPr>
            <w:tcW w:type="dxa" w:w="4464"/>
          </w:tcPr>
          <w:p>
            <w:r>
              <w:rPr>
                <w:highlight w:val="yellow"/>
              </w:rPr>
            </w:r>
            <w:r>
              <w:rPr>
                <w:sz w:val="17"/>
                <w:highlight w:val="yellow"/>
              </w:rPr>
              <w:t>Numbered process: complete the Application Form (rolling basis, accepted until the program is full or one week before the first class, whichever comes first; link removed when closed); create a Blackbaud account. IMPORTANT NOTE that Blackbaud is the portal for submitting the application, accepting admission and paying tuition. Then (1) personal statement with detailed prompts and (2) resume/CV. Once materials are received, applicants are contacted for an individual interview with one of the three core faculty.</w:t>
            </w:r>
          </w:p>
        </w:tc>
        <w:tc>
          <w:tcPr>
            <w:tcW w:type="dxa" w:w="3600"/>
          </w:tcPr>
          <w:p>
            <w:r>
              <w:rPr>
                <w:highlight w:val="yellow"/>
              </w:rPr>
            </w:r>
            <w:r>
              <w:rPr>
                <w:sz w:val="17"/>
                <w:highlight w:val="yellow"/>
              </w:rPr>
              <w:t>Four-item list: “Personal Statement Submission / Curriculum Vitae (CV) / Individual Academic Interview / Rolling Admissions Policy — First-come, first-served. Limited availability to ensure academic quality. Max 12 students.”</w:t>
            </w:r>
          </w:p>
        </w:tc>
        <w:tc>
          <w:tcPr>
            <w:tcW w:type="dxa" w:w="1296"/>
          </w:tcPr>
          <w:p>
            <w:r>
              <w:rPr>
                <w:highlight w:val="yellow"/>
              </w:rPr>
            </w:r>
            <w:r>
              <w:rPr>
                <w:b/>
                <w:sz w:val="17"/>
                <w:highlight w:val="yellow"/>
              </w:rPr>
              <w:t>MISSING</w:t>
            </w:r>
          </w:p>
        </w:tc>
        <w:tc>
          <w:tcPr>
            <w:tcW w:type="dxa" w:w="3312"/>
          </w:tcPr>
          <w:p>
            <w:r>
              <w:rPr>
                <w:highlight w:val="yellow"/>
              </w:rPr>
            </w:r>
            <w:r>
              <w:rPr>
                <w:sz w:val="17"/>
                <w:highlight w:val="yellow"/>
              </w:rPr>
              <w:t>Dropped: the Blackbaud portal explanation and account-creation link, the “until full or one week before the first class” deadline rule, and the note that the apply link disappears when applications close. Applicants currently have no instruction on where or how to submit.</w:t>
            </w:r>
          </w:p>
        </w:tc>
      </w:tr>
      <w:tr>
        <w:tc>
          <w:tcPr>
            <w:tcW w:type="dxa" w:w="2160"/>
          </w:tcPr>
          <w:p>
            <w:r/>
            <w:r>
              <w:rPr>
                <w:b/>
                <w:sz w:val="17"/>
              </w:rPr>
              <w:t>Personal statement instructions</w:t>
            </w:r>
          </w:p>
        </w:tc>
        <w:tc>
          <w:tcPr>
            <w:tcW w:type="dxa" w:w="4464"/>
          </w:tcPr>
          <w:p>
            <w:r/>
            <w:r>
              <w:rPr>
                <w:sz w:val="17"/>
              </w:rPr>
              <w:t>Detailed prompt: why you are applying; previous exposure to psychoanalytic theory; experience with individuals and couples to date; strengths and growing edges as a therapist; previous couple therapy training; a statement about how many couples you are likely to be working with; and a request to flag any concern about getting adequate couple referrals.</w:t>
            </w:r>
          </w:p>
        </w:tc>
        <w:tc>
          <w:tcPr>
            <w:tcW w:type="dxa" w:w="3600"/>
          </w:tcPr>
          <w:p>
            <w:r/>
            <w:r>
              <w:rPr>
                <w:sz w:val="17"/>
              </w:rPr>
              <w:t>Listed only as “Personal Statement Submission”.</w:t>
            </w:r>
          </w:p>
        </w:tc>
        <w:tc>
          <w:tcPr>
            <w:tcW w:type="dxa" w:w="1296"/>
          </w:tcPr>
          <w:p>
            <w:r/>
            <w:r>
              <w:rPr>
                <w:b/>
                <w:sz w:val="17"/>
              </w:rPr>
              <w:t>MISSING</w:t>
            </w:r>
          </w:p>
        </w:tc>
        <w:tc>
          <w:tcPr>
            <w:tcW w:type="dxa" w:w="3312"/>
          </w:tcPr>
          <w:p>
            <w:r/>
            <w:r>
              <w:rPr>
                <w:sz w:val="17"/>
              </w:rPr>
              <w:t>HIGH PRIORITY. The entire instruction set is gone. Applicants cannot write the statement to spec. Restore in full.</w:t>
            </w:r>
          </w:p>
        </w:tc>
      </w:tr>
      <w:tr>
        <w:tc>
          <w:tcPr>
            <w:tcW w:type="dxa" w:w="2160"/>
          </w:tcPr>
          <w:p>
            <w:r>
              <w:rPr>
                <w:b/>
                <w:color w:val="C00000"/>
                <w:sz w:val="16"/>
                <w:highlight w:val="yellow"/>
              </w:rPr>
              <w:t>★ CLIENT ITEM 3</w:t>
            </w:r>
          </w:p>
          <w:p>
            <w:r>
              <w:rPr>
                <w:highlight w:val="yellow"/>
              </w:rPr>
            </w:r>
            <w:r>
              <w:rPr>
                <w:b/>
                <w:sz w:val="17"/>
                <w:highlight w:val="yellow"/>
              </w:rPr>
              <w:t>Admissions contact / follow-up</w:t>
            </w:r>
          </w:p>
        </w:tc>
        <w:tc>
          <w:tcPr>
            <w:tcW w:type="dxa" w:w="4464"/>
          </w:tcPr>
          <w:p>
            <w:r>
              <w:rPr>
                <w:highlight w:val="yellow"/>
              </w:rPr>
            </w:r>
            <w:r>
              <w:rPr>
                <w:sz w:val="17"/>
                <w:highlight w:val="yellow"/>
              </w:rPr>
              <w:t>“If you have not heard from us within two weeks… please contact Samantha Antos at admissions@icsw.edu.” Admission continues until a maximum of 12 applicants are accepted; minimum of eight and maximum of 12 participants.</w:t>
            </w:r>
          </w:p>
        </w:tc>
        <w:tc>
          <w:tcPr>
            <w:tcW w:type="dxa" w:w="3600"/>
          </w:tcPr>
          <w:p>
            <w:r>
              <w:rPr>
                <w:highlight w:val="yellow"/>
              </w:rPr>
            </w:r>
            <w:r>
              <w:rPr>
                <w:sz w:val="17"/>
                <w:highlight w:val="yellow"/>
              </w:rPr>
              <w:t>“Max 12 students.” Questions block gives admissions@icsw.edu with no named contact.</w:t>
            </w:r>
          </w:p>
        </w:tc>
        <w:tc>
          <w:tcPr>
            <w:tcW w:type="dxa" w:w="1296"/>
          </w:tcPr>
          <w:p>
            <w:r>
              <w:rPr>
                <w:highlight w:val="yellow"/>
              </w:rPr>
            </w:r>
            <w:r>
              <w:rPr>
                <w:b/>
                <w:sz w:val="17"/>
                <w:highlight w:val="yellow"/>
              </w:rPr>
              <w:t>MISSING</w:t>
            </w:r>
          </w:p>
        </w:tc>
        <w:tc>
          <w:tcPr>
            <w:tcW w:type="dxa" w:w="3312"/>
          </w:tcPr>
          <w:p>
            <w:r>
              <w:rPr>
                <w:highlight w:val="yellow"/>
              </w:rPr>
            </w:r>
            <w:r>
              <w:rPr>
                <w:sz w:val="17"/>
                <w:highlight w:val="yellow"/>
              </w:rPr>
              <w:t>Dropped: Samantha Antos by name, the two-week follow-up window, and the minimum cohort size of eight. Confirm whether Samantha Antos is still the contact before restoring the name.</w:t>
            </w:r>
          </w:p>
        </w:tc>
      </w:tr>
      <w:tr>
        <w:tc>
          <w:tcPr>
            <w:tcW w:type="dxa" w:w="2160"/>
          </w:tcPr>
          <w:p>
            <w:r>
              <w:rPr>
                <w:b/>
                <w:color w:val="C00000"/>
                <w:sz w:val="16"/>
                <w:highlight w:val="yellow"/>
              </w:rPr>
              <w:t>★ CLIENT ITEM 3</w:t>
            </w:r>
          </w:p>
          <w:p>
            <w:r>
              <w:rPr>
                <w:highlight w:val="yellow"/>
              </w:rPr>
            </w:r>
            <w:r>
              <w:rPr>
                <w:b/>
                <w:sz w:val="17"/>
                <w:highlight w:val="yellow"/>
              </w:rPr>
              <w:t>Tuition amount and due date</w:t>
            </w:r>
          </w:p>
        </w:tc>
        <w:tc>
          <w:tcPr>
            <w:tcW w:type="dxa" w:w="4464"/>
          </w:tcPr>
          <w:p>
            <w:r>
              <w:rPr>
                <w:highlight w:val="yellow"/>
              </w:rPr>
            </w:r>
            <w:r>
              <w:rPr>
                <w:sz w:val="17"/>
                <w:highlight w:val="yellow"/>
              </w:rPr>
              <w:t>“The tuition is $3,600 and will be due one week prior to the first class.”</w:t>
            </w:r>
          </w:p>
        </w:tc>
        <w:tc>
          <w:tcPr>
            <w:tcW w:type="dxa" w:w="3600"/>
          </w:tcPr>
          <w:p>
            <w:r>
              <w:rPr>
                <w:highlight w:val="yellow"/>
              </w:rPr>
            </w:r>
            <w:r>
              <w:rPr>
                <w:sz w:val="17"/>
                <w:highlight w:val="yellow"/>
              </w:rPr>
              <w:t>Quick Facts: “Tution $3,600”. Cost block: “$4600 Total — Consisting of $3,600 standard academic tuition plus $1,000 for mandatory clinical individual consultations.”</w:t>
            </w:r>
          </w:p>
        </w:tc>
        <w:tc>
          <w:tcPr>
            <w:tcW w:type="dxa" w:w="1296"/>
          </w:tcPr>
          <w:p>
            <w:r>
              <w:rPr>
                <w:highlight w:val="yellow"/>
              </w:rPr>
            </w:r>
            <w:r>
              <w:rPr>
                <w:b/>
                <w:sz w:val="17"/>
                <w:highlight w:val="yellow"/>
              </w:rPr>
              <w:t>MISSING + TYPO</w:t>
            </w:r>
          </w:p>
        </w:tc>
        <w:tc>
          <w:tcPr>
            <w:tcW w:type="dxa" w:w="3312"/>
          </w:tcPr>
          <w:p>
            <w:r>
              <w:rPr>
                <w:highlight w:val="yellow"/>
              </w:rPr>
            </w:r>
            <w:r>
              <w:rPr>
                <w:sz w:val="17"/>
                <w:highlight w:val="yellow"/>
              </w:rPr>
              <w:t>Payment due date is gone. Typo: “Tution” should read “Tuition” — fix before launch.</w:t>
            </w:r>
          </w:p>
        </w:tc>
      </w:tr>
      <w:tr>
        <w:tc>
          <w:tcPr>
            <w:tcW w:type="dxa" w:w="2160"/>
          </w:tcPr>
          <w:p>
            <w:r/>
            <w:r>
              <w:rPr>
                <w:b/>
                <w:sz w:val="17"/>
              </w:rPr>
              <w:t>Refund policy</w:t>
            </w:r>
          </w:p>
        </w:tc>
        <w:tc>
          <w:tcPr>
            <w:tcW w:type="dxa" w:w="4464"/>
          </w:tcPr>
          <w:p>
            <w:r/>
            <w:r>
              <w:rPr>
                <w:sz w:val="17"/>
              </w:rPr>
              <w:t>“Any tuition refund requests must be submitted to Michael Bauman (mbauman@icsw.edu or (773) 943-6503). Refunds will be issued at a rate of 50% by the 3rd class and 0% any time after.”</w:t>
            </w:r>
          </w:p>
        </w:tc>
        <w:tc>
          <w:tcPr>
            <w:tcW w:type="dxa" w:w="3600"/>
          </w:tcPr>
          <w:p>
            <w:r/>
            <w:r>
              <w:rPr>
                <w:sz w:val="17"/>
              </w:rPr>
              <w:t>Not present anywhere on the page.</w:t>
            </w:r>
          </w:p>
        </w:tc>
        <w:tc>
          <w:tcPr>
            <w:tcW w:type="dxa" w:w="1296"/>
          </w:tcPr>
          <w:p>
            <w:r/>
            <w:r>
              <w:rPr>
                <w:b/>
                <w:sz w:val="17"/>
              </w:rPr>
              <w:t>MISSING</w:t>
            </w:r>
          </w:p>
        </w:tc>
        <w:tc>
          <w:tcPr>
            <w:tcW w:type="dxa" w:w="3312"/>
          </w:tcPr>
          <w:p>
            <w:r/>
            <w:r>
              <w:rPr>
                <w:sz w:val="17"/>
              </w:rPr>
              <w:t>HIGH PRIORITY — compliance risk. The published refund terms and the named contact for refund requests have been removed entirely. Restore verbatim.</w:t>
            </w:r>
          </w:p>
        </w:tc>
      </w:tr>
      <w:tr>
        <w:tc>
          <w:tcPr>
            <w:tcW w:type="dxa" w:w="2160"/>
          </w:tcPr>
          <w:p>
            <w:r>
              <w:rPr>
                <w:b/>
                <w:color w:val="C00000"/>
                <w:sz w:val="16"/>
                <w:highlight w:val="yellow"/>
              </w:rPr>
              <w:t>★ CLIENT ITEM 3</w:t>
            </w:r>
          </w:p>
          <w:p>
            <w:r>
              <w:rPr>
                <w:highlight w:val="yellow"/>
              </w:rPr>
            </w:r>
            <w:r>
              <w:rPr>
                <w:b/>
                <w:sz w:val="17"/>
                <w:highlight w:val="yellow"/>
              </w:rPr>
              <w:t>Consultation fee structure</w:t>
            </w:r>
          </w:p>
        </w:tc>
        <w:tc>
          <w:tcPr>
            <w:tcW w:type="dxa" w:w="4464"/>
          </w:tcPr>
          <w:p>
            <w:r>
              <w:rPr>
                <w:highlight w:val="yellow"/>
              </w:rPr>
            </w:r>
            <w:r>
              <w:rPr>
                <w:sz w:val="17"/>
                <w:highlight w:val="yellow"/>
              </w:rPr>
              <w:t>“There is an additional fee of $100 per individual consultation session, payable directly to the participant’s assigned individual consultant. A minimum of 10 individual consultations are required, resulting in a total cost for the program of $4600.”</w:t>
            </w:r>
          </w:p>
        </w:tc>
        <w:tc>
          <w:tcPr>
            <w:tcW w:type="dxa" w:w="3600"/>
          </w:tcPr>
          <w:p>
            <w:r>
              <w:rPr>
                <w:highlight w:val="yellow"/>
              </w:rPr>
            </w:r>
            <w:r>
              <w:rPr>
                <w:sz w:val="17"/>
                <w:highlight w:val="yellow"/>
              </w:rPr>
              <w:t>“…plus $1,000 for mandatory clinical individual consultations.” Also adds “Payment plans available” and “Scholarship priority programs”.</w:t>
            </w:r>
          </w:p>
        </w:tc>
        <w:tc>
          <w:tcPr>
            <w:tcW w:type="dxa" w:w="1296"/>
          </w:tcPr>
          <w:p>
            <w:r>
              <w:rPr>
                <w:highlight w:val="yellow"/>
              </w:rPr>
            </w:r>
            <w:r>
              <w:rPr>
                <w:b/>
                <w:sz w:val="17"/>
                <w:highlight w:val="yellow"/>
              </w:rPr>
              <w:t>CHANGED + ADDED</w:t>
            </w:r>
          </w:p>
        </w:tc>
        <w:tc>
          <w:tcPr>
            <w:tcW w:type="dxa" w:w="3312"/>
          </w:tcPr>
          <w:p>
            <w:r>
              <w:rPr>
                <w:highlight w:val="yellow"/>
              </w:rPr>
            </w:r>
            <w:r>
              <w:rPr>
                <w:sz w:val="17"/>
                <w:highlight w:val="yellow"/>
              </w:rPr>
              <w:t>The new copy hides that the $1,000 is 10 × $100 paid DIRECTLY to the consultant, not to ICSW — a material billing distinction. Also “Payment plans available” appears nowhere in the source; verify it is true or remove.</w:t>
            </w:r>
          </w:p>
        </w:tc>
      </w:tr>
      <w:tr>
        <w:tc>
          <w:tcPr>
            <w:tcW w:type="dxa" w:w="2160"/>
          </w:tcPr>
          <w:p>
            <w:r>
              <w:rPr>
                <w:b/>
                <w:color w:val="C00000"/>
                <w:sz w:val="16"/>
                <w:highlight w:val="yellow"/>
              </w:rPr>
              <w:t>★ CLIENT ITEM 1</w:t>
            </w:r>
          </w:p>
          <w:p>
            <w:r>
              <w:rPr>
                <w:highlight w:val="yellow"/>
              </w:rPr>
            </w:r>
            <w:r>
              <w:rPr>
                <w:b/>
                <w:sz w:val="17"/>
                <w:highlight w:val="yellow"/>
              </w:rPr>
              <w:t>Program dates / length</w:t>
            </w:r>
          </w:p>
        </w:tc>
        <w:tc>
          <w:tcPr>
            <w:tcW w:type="dxa" w:w="4464"/>
          </w:tcPr>
          <w:p>
            <w:r>
              <w:rPr>
                <w:highlight w:val="yellow"/>
              </w:rPr>
            </w:r>
            <w:r>
              <w:rPr>
                <w:sz w:val="17"/>
                <w:highlight w:val="yellow"/>
              </w:rPr>
              <w:t>“The program runs September to May… 29 classes, of which CEUs are available for 28.” Header says “9 Month program”; completion requirements say “throughout the 8 month program”.</w:t>
            </w:r>
          </w:p>
        </w:tc>
        <w:tc>
          <w:tcPr>
            <w:tcW w:type="dxa" w:w="3600"/>
          </w:tcPr>
          <w:p>
            <w:r>
              <w:rPr>
                <w:highlight w:val="yellow"/>
              </w:rPr>
            </w:r>
            <w:r>
              <w:rPr>
                <w:sz w:val="17"/>
                <w:highlight w:val="yellow"/>
              </w:rPr>
              <w:t>“9 months, virtual, Thursday mornings, 9 AM – 12 PM CST”; “Program Dates: September to May”; “28 classes plus a dedicated wrap-up session”.</w:t>
            </w:r>
          </w:p>
        </w:tc>
        <w:tc>
          <w:tcPr>
            <w:tcW w:type="dxa" w:w="1296"/>
          </w:tcPr>
          <w:p>
            <w:r>
              <w:rPr>
                <w:highlight w:val="yellow"/>
              </w:rPr>
            </w:r>
            <w:r>
              <w:rPr>
                <w:b/>
                <w:sz w:val="17"/>
                <w:highlight w:val="yellow"/>
              </w:rPr>
              <w:t>OK (verify)</w:t>
            </w:r>
          </w:p>
        </w:tc>
        <w:tc>
          <w:tcPr>
            <w:tcW w:type="dxa" w:w="3312"/>
          </w:tcPr>
          <w:p>
            <w:r>
              <w:rPr>
                <w:highlight w:val="yellow"/>
              </w:rPr>
            </w:r>
            <w:r>
              <w:rPr>
                <w:sz w:val="17"/>
                <w:highlight w:val="yellow"/>
              </w:rPr>
              <w:t>New page is consistent and adds the class time (9 AM–12 PM CST), which the old page did not state. Note the source contradicts itself on 8 vs 9 months — confirm 9 months with ICSW so the live page is right.</w:t>
            </w:r>
          </w:p>
        </w:tc>
      </w:tr>
      <w:tr>
        <w:tc>
          <w:tcPr>
            <w:tcW w:type="dxa" w:w="2160"/>
          </w:tcPr>
          <w:p>
            <w:r/>
            <w:r>
              <w:rPr>
                <w:b/>
                <w:sz w:val="17"/>
              </w:rPr>
              <w:t>Scholarships</w:t>
            </w:r>
          </w:p>
        </w:tc>
        <w:tc>
          <w:tcPr>
            <w:tcW w:type="dxa" w:w="4464"/>
          </w:tcPr>
          <w:p>
            <w:r/>
            <w:r>
              <w:rPr>
                <w:sz w:val="17"/>
              </w:rPr>
              <w:t>“Some scholarship assistance may be available to accepted students who meet financial eligibility criteria. Priority… to BIPOC applicants and those from other traditionally underrepresented groups as well as to applicants who work with low income couples and those from marginalized groups. The scholarship application can be requested by reaching out to Program Director Carla Leone at cleone@icsw.edu.”</w:t>
            </w:r>
          </w:p>
        </w:tc>
        <w:tc>
          <w:tcPr>
            <w:tcW w:type="dxa" w:w="3600"/>
          </w:tcPr>
          <w:p>
            <w:r/>
            <w:r>
              <w:rPr>
                <w:sz w:val="17"/>
              </w:rPr>
              <w:t>Quick Facts: “Available (BIPOC priority)”. Body: “Strategic priority is given to BIPOC applicants, traditionally underrepresented groups, and practitioners holding marginalized or historically low-income identities.”</w:t>
            </w:r>
          </w:p>
        </w:tc>
        <w:tc>
          <w:tcPr>
            <w:tcW w:type="dxa" w:w="1296"/>
          </w:tcPr>
          <w:p>
            <w:r/>
            <w:r>
              <w:rPr>
                <w:b/>
                <w:sz w:val="17"/>
              </w:rPr>
              <w:t>CHANGED + MISSING</w:t>
            </w:r>
          </w:p>
        </w:tc>
        <w:tc>
          <w:tcPr>
            <w:tcW w:type="dxa" w:w="3312"/>
          </w:tcPr>
          <w:p>
            <w:r/>
            <w:r>
              <w:rPr>
                <w:sz w:val="17"/>
              </w:rPr>
              <w:t>Meaning inverted on one point: the source prioritises clinicians who WORK WITH low-income couples; the new page prioritises practitioners who THEMSELVES hold low-income identities. Also missing: that scholarships are for accepted students meeting financial eligibility criteria, and how to request the application (email Carla Leone).</w:t>
            </w:r>
          </w:p>
        </w:tc>
      </w:tr>
      <w:tr>
        <w:tc>
          <w:tcPr>
            <w:tcW w:type="dxa" w:w="2160"/>
          </w:tcPr>
          <w:p>
            <w:r/>
            <w:r>
              <w:rPr>
                <w:b/>
                <w:sz w:val="17"/>
              </w:rPr>
              <w:t>Questions / contact block</w:t>
            </w:r>
          </w:p>
        </w:tc>
        <w:tc>
          <w:tcPr>
            <w:tcW w:type="dxa" w:w="4464"/>
          </w:tcPr>
          <w:p>
            <w:r/>
            <w:r>
              <w:rPr>
                <w:sz w:val="17"/>
              </w:rPr>
              <w:t>“Please direct any questions about the application process to Samantha Antos at (admissions@icsw.edu), and questions about the program itself or the eligibility criteria to Dr. Carla Leone (cleone@icsw.edu or 847-308-3660).”</w:t>
            </w:r>
          </w:p>
        </w:tc>
        <w:tc>
          <w:tcPr>
            <w:tcW w:type="dxa" w:w="3600"/>
          </w:tcPr>
          <w:p>
            <w:r/>
            <w:r>
              <w:rPr>
                <w:sz w:val="17"/>
              </w:rPr>
              <w:t>“Please direct questions about the application process to admissions@icsw.edu. For eligibility questions, contact Dr. Carla Leone at cleone@icsw.edu or call (847) 328-3695.”</w:t>
            </w:r>
          </w:p>
        </w:tc>
        <w:tc>
          <w:tcPr>
            <w:tcW w:type="dxa" w:w="1296"/>
          </w:tcPr>
          <w:p>
            <w:r/>
            <w:r>
              <w:rPr>
                <w:b/>
                <w:sz w:val="17"/>
              </w:rPr>
              <w:t>CONFLICT</w:t>
            </w:r>
          </w:p>
        </w:tc>
        <w:tc>
          <w:tcPr>
            <w:tcW w:type="dxa" w:w="3312"/>
          </w:tcPr>
          <w:p>
            <w:r/>
            <w:r>
              <w:rPr>
                <w:sz w:val="17"/>
              </w:rPr>
              <w:t>Carla Leone’s phone number differs: old 847-308-3660 vs new (847) 328-3695. The digits are transposed — one of them is wrong. Verify before launch. Samantha Antos’s name has also been dropped.</w:t>
            </w:r>
          </w:p>
        </w:tc>
      </w:tr>
      <w:tr>
        <w:tc>
          <w:tcPr>
            <w:tcW w:type="dxa" w:w="2160"/>
          </w:tcPr>
          <w:p>
            <w:r/>
            <w:r>
              <w:rPr>
                <w:b/>
                <w:sz w:val="17"/>
              </w:rPr>
              <w:t>Primary CTA</w:t>
            </w:r>
          </w:p>
        </w:tc>
        <w:tc>
          <w:tcPr>
            <w:tcW w:type="dxa" w:w="4464"/>
          </w:tcPr>
          <w:p>
            <w:r/>
            <w:r>
              <w:rPr>
                <w:sz w:val="17"/>
              </w:rPr>
              <w:t>Single “APPLY NOW” button linking to the Blackbaud apply flow.</w:t>
            </w:r>
          </w:p>
        </w:tc>
        <w:tc>
          <w:tcPr>
            <w:tcW w:type="dxa" w:w="3600"/>
          </w:tcPr>
          <w:p>
            <w:r/>
            <w:r>
              <w:rPr>
                <w:sz w:val="17"/>
              </w:rPr>
              <w:t>“Apply Now” (Blackbaud apply) and a new “Schedule Consultation” (Blackbaud inquiry form), repeated in two places plus a closing CTA band.</w:t>
            </w:r>
          </w:p>
        </w:tc>
        <w:tc>
          <w:tcPr>
            <w:tcW w:type="dxa" w:w="1296"/>
          </w:tcPr>
          <w:p>
            <w:r/>
            <w:r>
              <w:rPr>
                <w:b/>
                <w:sz w:val="17"/>
              </w:rPr>
              <w:t>ADDED (fix links)</w:t>
            </w:r>
          </w:p>
        </w:tc>
        <w:tc>
          <w:tcPr>
            <w:tcW w:type="dxa" w:w="3312"/>
          </w:tcPr>
          <w:p>
            <w:r/>
            <w:r>
              <w:rPr>
                <w:sz w:val="17"/>
              </w:rPr>
              <w:t>The extra consultation CTA is an improvement. But two of the CTA instances render with no href at all (empty link) — the buttons in the Quick Facts block do not go anywhere. Fix before launch.</w:t>
            </w:r>
          </w:p>
        </w:tc>
      </w:tr>
      <w:tr>
        <w:tc>
          <w:tcPr>
            <w:tcW w:type="dxa" w:w="2160"/>
          </w:tcPr>
          <w:p>
            <w:r/>
            <w:r>
              <w:rPr>
                <w:b/>
                <w:sz w:val="17"/>
              </w:rPr>
              <w:t>Donate CTA</w:t>
            </w:r>
          </w:p>
        </w:tc>
        <w:tc>
          <w:tcPr>
            <w:tcW w:type="dxa" w:w="4464"/>
          </w:tcPr>
          <w:p>
            <w:r/>
            <w:r>
              <w:rPr>
                <w:sz w:val="17"/>
              </w:rPr>
              <w:t>“DONATE HERE” button linking to /case-for-support.</w:t>
            </w:r>
          </w:p>
        </w:tc>
        <w:tc>
          <w:tcPr>
            <w:tcW w:type="dxa" w:w="3600"/>
          </w:tcPr>
          <w:p>
            <w:r/>
            <w:r>
              <w:rPr>
                <w:sz w:val="17"/>
              </w:rPr>
              <w:t>Not present on the page (only “Give to ICSW” in the global footer).</w:t>
            </w:r>
          </w:p>
        </w:tc>
        <w:tc>
          <w:tcPr>
            <w:tcW w:type="dxa" w:w="1296"/>
          </w:tcPr>
          <w:p>
            <w:r/>
            <w:r>
              <w:rPr>
                <w:b/>
                <w:sz w:val="17"/>
              </w:rPr>
              <w:t>MISSING</w:t>
            </w:r>
          </w:p>
        </w:tc>
        <w:tc>
          <w:tcPr>
            <w:tcW w:type="dxa" w:w="3312"/>
          </w:tcPr>
          <w:p>
            <w:r/>
            <w:r>
              <w:rPr>
                <w:sz w:val="17"/>
              </w:rPr>
              <w:t>Confirm whether the in-page donate CTA should be restored on this page.</w:t>
            </w:r>
          </w:p>
        </w:tc>
      </w:tr>
      <w:tr>
        <w:tc>
          <w:tcPr>
            <w:tcW w:type="dxa" w:w="2160"/>
          </w:tcPr>
          <w:p>
            <w:r/>
            <w:r>
              <w:rPr>
                <w:b/>
                <w:sz w:val="17"/>
              </w:rPr>
              <w:t>Imagery</w:t>
            </w:r>
          </w:p>
        </w:tc>
        <w:tc>
          <w:tcPr>
            <w:tcW w:type="dxa" w:w="4464"/>
          </w:tcPr>
          <w:p>
            <w:r/>
            <w:r>
              <w:rPr>
                <w:sz w:val="17"/>
              </w:rPr>
              <w:t>Hero image (ADMISSIONS_COUPLES_v01.jpg) plus three faculty headshots with named image files.</w:t>
            </w:r>
          </w:p>
        </w:tc>
        <w:tc>
          <w:tcPr>
            <w:tcW w:type="dxa" w:w="3600"/>
          </w:tcPr>
          <w:p>
            <w:r/>
            <w:r>
              <w:rPr>
                <w:sz w:val="17"/>
              </w:rPr>
              <w:t>No content images found in the page markup apart from the ICSW logo; hero and faculty portraits appear to be CSS backgrounds or placeholders.</w:t>
            </w:r>
          </w:p>
        </w:tc>
        <w:tc>
          <w:tcPr>
            <w:tcW w:type="dxa" w:w="1296"/>
          </w:tcPr>
          <w:p>
            <w:r/>
            <w:r>
              <w:rPr>
                <w:b/>
                <w:sz w:val="17"/>
              </w:rPr>
              <w:t>CHECK</w:t>
            </w:r>
          </w:p>
        </w:tc>
        <w:tc>
          <w:tcPr>
            <w:tcW w:type="dxa" w:w="3312"/>
          </w:tcPr>
          <w:p>
            <w:r/>
            <w:r>
              <w:rPr>
                <w:sz w:val="17"/>
              </w:rPr>
              <w:t>Confirm the hero and the three faculty headshots are actually rendering and are real &lt;img&gt; elements with descriptive alt text. The two logo images currently carry the alt text “WordPress” — replace with “Institute for Clinical Social Work”.</w:t>
            </w:r>
          </w:p>
        </w:tc>
      </w:tr>
      <w:tr>
        <w:tc>
          <w:tcPr>
            <w:tcW w:type="dxa" w:w="2160"/>
          </w:tcPr>
          <w:p>
            <w:r/>
            <w:r>
              <w:rPr>
                <w:b/>
                <w:sz w:val="17"/>
              </w:rPr>
              <w:t>Meta title</w:t>
            </w:r>
          </w:p>
        </w:tc>
        <w:tc>
          <w:tcPr>
            <w:tcW w:type="dxa" w:w="4464"/>
          </w:tcPr>
          <w:p>
            <w:r/>
            <w:r>
              <w:rPr>
                <w:sz w:val="17"/>
              </w:rPr>
              <w:t>“Integrative Psychoanalytic Couple Therapy — ICSW”</w:t>
            </w:r>
          </w:p>
        </w:tc>
        <w:tc>
          <w:tcPr>
            <w:tcW w:type="dxa" w:w="3600"/>
          </w:tcPr>
          <w:p>
            <w:r/>
            <w:r>
              <w:rPr>
                <w:sz w:val="17"/>
              </w:rPr>
              <w:t>“Integrative Psychoanalytic Couple Therapy – Institute for Clinical Social Work”</w:t>
            </w:r>
          </w:p>
        </w:tc>
        <w:tc>
          <w:tcPr>
            <w:tcW w:type="dxa" w:w="1296"/>
          </w:tcPr>
          <w:p>
            <w:r/>
            <w:r>
              <w:rPr>
                <w:b/>
                <w:sz w:val="17"/>
              </w:rPr>
              <w:t>CHANGED</w:t>
            </w:r>
          </w:p>
        </w:tc>
        <w:tc>
          <w:tcPr>
            <w:tcW w:type="dxa" w:w="3312"/>
          </w:tcPr>
          <w:p>
            <w:r/>
            <w:r>
              <w:rPr>
                <w:sz w:val="17"/>
              </w:rPr>
              <w:t>Longer title risks truncation in search results. Consider “Integrative Psychoanalytic Couple Therapy Certificate | ICSW”.</w:t>
            </w:r>
          </w:p>
        </w:tc>
      </w:tr>
      <w:tr>
        <w:tc>
          <w:tcPr>
            <w:tcW w:type="dxa" w:w="2160"/>
          </w:tcPr>
          <w:p>
            <w:r/>
            <w:r>
              <w:rPr>
                <w:b/>
                <w:sz w:val="17"/>
              </w:rPr>
              <w:t>Meta description</w:t>
            </w:r>
          </w:p>
        </w:tc>
        <w:tc>
          <w:tcPr>
            <w:tcW w:type="dxa" w:w="4464"/>
          </w:tcPr>
          <w:p>
            <w:r/>
            <w:r>
              <w:rPr>
                <w:sz w:val="17"/>
              </w:rPr>
              <w:t>“A joint certificate program in clinical counseling for couples therapy could be your future. Learn more today and see how you can make a difference at ICSW.”</w:t>
            </w:r>
          </w:p>
        </w:tc>
        <w:tc>
          <w:tcPr>
            <w:tcW w:type="dxa" w:w="3600"/>
          </w:tcPr>
          <w:p>
            <w:r/>
            <w:r>
              <w:rPr>
                <w:sz w:val="17"/>
              </w:rPr>
              <w:t>No meta description on the page.</w:t>
            </w:r>
          </w:p>
        </w:tc>
        <w:tc>
          <w:tcPr>
            <w:tcW w:type="dxa" w:w="1296"/>
          </w:tcPr>
          <w:p>
            <w:r/>
            <w:r>
              <w:rPr>
                <w:b/>
                <w:sz w:val="17"/>
              </w:rPr>
              <w:t>MISSING</w:t>
            </w:r>
          </w:p>
        </w:tc>
        <w:tc>
          <w:tcPr>
            <w:tcW w:type="dxa" w:w="3312"/>
          </w:tcPr>
          <w:p>
            <w:r/>
            <w:r>
              <w:rPr>
                <w:sz w:val="17"/>
              </w:rPr>
              <w:t>HIGH PRIORITY for SEO. Add a meta description — either the original or a rewritten one targeting “psychoanalytic couple therapy certificate”.</w:t>
            </w:r>
          </w:p>
        </w:tc>
      </w:tr>
      <w:tr>
        <w:tc>
          <w:tcPr>
            <w:tcW w:type="dxa" w:w="2160"/>
          </w:tcPr>
          <w:p>
            <w:r/>
            <w:r>
              <w:rPr>
                <w:b/>
                <w:sz w:val="17"/>
              </w:rPr>
              <w:t>URL</w:t>
            </w:r>
          </w:p>
        </w:tc>
        <w:tc>
          <w:tcPr>
            <w:tcW w:type="dxa" w:w="4464"/>
          </w:tcPr>
          <w:p>
            <w:r/>
            <w:r>
              <w:rPr>
                <w:sz w:val="17"/>
              </w:rPr>
              <w:t>/coupletherapy</w:t>
            </w:r>
          </w:p>
        </w:tc>
        <w:tc>
          <w:tcPr>
            <w:tcW w:type="dxa" w:w="3600"/>
          </w:tcPr>
          <w:p>
            <w:r/>
            <w:r>
              <w:rPr>
                <w:sz w:val="17"/>
              </w:rPr>
              <w:t>/continuing-education/integrative-psychoanalytic-couple-therapy/</w:t>
            </w:r>
          </w:p>
        </w:tc>
        <w:tc>
          <w:tcPr>
            <w:tcW w:type="dxa" w:w="1296"/>
          </w:tcPr>
          <w:p>
            <w:r/>
            <w:r>
              <w:rPr>
                <w:b/>
                <w:sz w:val="17"/>
              </w:rPr>
              <w:t>CHANGED</w:t>
            </w:r>
          </w:p>
        </w:tc>
        <w:tc>
          <w:tcPr>
            <w:tcW w:type="dxa" w:w="3312"/>
          </w:tcPr>
          <w:p>
            <w:r/>
            <w:r>
              <w:rPr>
                <w:sz w:val="17"/>
              </w:rPr>
              <w:t>Ensure a 301 redirect from /coupletherapy to the new URL, and update the footer “Couple Therapy Training” link and any internal links that still point at the old path.</w:t>
            </w:r>
          </w:p>
        </w:tc>
      </w:tr>
      <w:tr>
        <w:tc>
          <w:tcPr>
            <w:tcW w:type="dxa" w:w="2160"/>
          </w:tcPr>
          <w:p>
            <w:r/>
            <w:r>
              <w:rPr>
                <w:b/>
                <w:sz w:val="17"/>
              </w:rPr>
              <w:t>Copy errors introduced on the new page</w:t>
            </w:r>
          </w:p>
        </w:tc>
        <w:tc>
          <w:tcPr>
            <w:tcW w:type="dxa" w:w="4464"/>
          </w:tcPr>
          <w:p>
            <w:r/>
            <w:r>
              <w:rPr>
                <w:sz w:val="17"/>
              </w:rPr>
              <w:t>N/A — not present in source.</w:t>
            </w:r>
          </w:p>
        </w:tc>
        <w:tc>
          <w:tcPr>
            <w:tcW w:type="dxa" w:w="3600"/>
          </w:tcPr>
          <w:p>
            <w:r/>
            <w:r>
              <w:rPr>
                <w:sz w:val="17"/>
              </w:rPr>
              <w:t>“Tution” (Quick Facts); “between thepartners” (intro); duplicated consultant sentence; “Related Experience Essay”; inconsistent credential punctuation (Ph.D / Ph.D / PhD); “Accreditation outputs”.</w:t>
            </w:r>
          </w:p>
        </w:tc>
        <w:tc>
          <w:tcPr>
            <w:tcW w:type="dxa" w:w="1296"/>
          </w:tcPr>
          <w:p>
            <w:r/>
            <w:r>
              <w:rPr>
                <w:b/>
                <w:sz w:val="17"/>
              </w:rPr>
              <w:t>ADDED (errors)</w:t>
            </w:r>
          </w:p>
        </w:tc>
        <w:tc>
          <w:tcPr>
            <w:tcW w:type="dxa" w:w="3312"/>
          </w:tcPr>
          <w:p>
            <w:r/>
            <w:r>
              <w:rPr>
                <w:sz w:val="17"/>
              </w:rPr>
              <w:t>Proofread pass required before launch. None of these appear in the source page.</w:t>
            </w:r>
          </w:p>
        </w:tc>
      </w:tr>
    </w:tbl>
    <w:p>
      <w:r>
        <w:br w:type="page"/>
      </w:r>
    </w:p>
    <w:p>
      <w:pPr>
        <w:pStyle w:val="Heading1"/>
      </w:pPr>
      <w:r>
        <w:t>Priority Fix List</w:t>
      </w:r>
    </w:p>
    <w:p>
      <w:r>
        <w:t>Ordered by risk. Everything below is a gap against the old page, which is the source of truth.</w:t>
      </w:r>
    </w:p>
    <w:tbl>
      <w:tblPr>
        <w:tblStyle w:val="TableGrid"/>
        <w:tblW w:type="auto" w:w="0"/>
        <w:tblLook w:firstColumn="1" w:firstRow="1" w:lastColumn="0" w:lastRow="0" w:noHBand="0" w:noVBand="1" w:val="04A0"/>
      </w:tblPr>
      <w:tblGrid>
        <w:gridCol w:w="4800"/>
        <w:gridCol w:w="4800"/>
        <w:gridCol w:w="4800"/>
      </w:tblGrid>
      <w:tr>
        <w:tc>
          <w:tcPr>
            <w:tcW w:type="dxa" w:w="576"/>
          </w:tcPr>
          <w:p>
            <w:r/>
            <w:r>
              <w:rPr>
                <w:b/>
                <w:sz w:val="18"/>
              </w:rPr>
              <w:t>#</w:t>
            </w:r>
          </w:p>
        </w:tc>
        <w:tc>
          <w:tcPr>
            <w:tcW w:type="dxa" w:w="3744"/>
          </w:tcPr>
          <w:p>
            <w:r/>
            <w:r>
              <w:rPr>
                <w:b/>
                <w:sz w:val="18"/>
              </w:rPr>
              <w:t>Issue</w:t>
            </w:r>
          </w:p>
        </w:tc>
        <w:tc>
          <w:tcPr>
            <w:tcW w:type="dxa" w:w="10512"/>
          </w:tcPr>
          <w:p>
            <w:r/>
            <w:r>
              <w:rPr>
                <w:b/>
                <w:sz w:val="18"/>
              </w:rPr>
              <w:t>Detail</w:t>
            </w:r>
          </w:p>
        </w:tc>
      </w:tr>
      <w:tr>
        <w:tc>
          <w:tcPr>
            <w:tcW w:type="dxa" w:w="576"/>
          </w:tcPr>
          <w:p>
            <w:r/>
            <w:r>
              <w:rPr>
                <w:sz w:val="18"/>
              </w:rPr>
              <w:t>1</w:t>
            </w:r>
          </w:p>
        </w:tc>
        <w:tc>
          <w:tcPr>
            <w:tcW w:type="dxa" w:w="3744"/>
          </w:tcPr>
          <w:p>
            <w:r/>
            <w:r>
              <w:rPr>
                <w:b/>
                <w:sz w:val="18"/>
              </w:rPr>
              <w:t>Wrong program copy in “Core Value”</w:t>
            </w:r>
          </w:p>
        </w:tc>
        <w:tc>
          <w:tcPr>
            <w:tcW w:type="dxa" w:w="10512"/>
          </w:tcPr>
          <w:p>
            <w:r/>
            <w:r>
              <w:rPr>
                <w:sz w:val="18"/>
              </w:rPr>
              <w:t>The block describes the Master’s hybrid program with in-person residencies. This is an all-virtual certificate. Remove and restore the Program Mission statement.</w:t>
            </w:r>
          </w:p>
        </w:tc>
      </w:tr>
      <w:tr>
        <w:tc>
          <w:tcPr>
            <w:tcW w:type="dxa" w:w="576"/>
          </w:tcPr>
          <w:p>
            <w:r/>
            <w:r>
              <w:rPr>
                <w:sz w:val="18"/>
              </w:rPr>
              <w:t>2</w:t>
            </w:r>
          </w:p>
        </w:tc>
        <w:tc>
          <w:tcPr>
            <w:tcW w:type="dxa" w:w="3744"/>
          </w:tcPr>
          <w:p>
            <w:r/>
            <w:r>
              <w:rPr>
                <w:b/>
                <w:sz w:val="18"/>
              </w:rPr>
              <w:t>Refund policy removed</w:t>
            </w:r>
          </w:p>
        </w:tc>
        <w:tc>
          <w:tcPr>
            <w:tcW w:type="dxa" w:w="10512"/>
          </w:tcPr>
          <w:p>
            <w:r/>
            <w:r>
              <w:rPr>
                <w:sz w:val="18"/>
              </w:rPr>
              <w:t>50% by the 3rd class / 0% after, and refund requests to Michael Bauman (mbauman@icsw.edu, (773) 943-6503). Published terms — restore verbatim.</w:t>
            </w:r>
          </w:p>
        </w:tc>
      </w:tr>
      <w:tr>
        <w:tc>
          <w:tcPr>
            <w:tcW w:type="dxa" w:w="576"/>
          </w:tcPr>
          <w:p>
            <w:r/>
            <w:r>
              <w:rPr>
                <w:sz w:val="18"/>
              </w:rPr>
              <w:t>3</w:t>
            </w:r>
          </w:p>
        </w:tc>
        <w:tc>
          <w:tcPr>
            <w:tcW w:type="dxa" w:w="3744"/>
          </w:tcPr>
          <w:p>
            <w:r/>
            <w:r>
              <w:rPr>
                <w:b/>
                <w:sz w:val="18"/>
              </w:rPr>
              <w:t>Cohort status contradiction</w:t>
            </w:r>
          </w:p>
        </w:tc>
        <w:tc>
          <w:tcPr>
            <w:tcW w:type="dxa" w:w="10512"/>
          </w:tcPr>
          <w:p>
            <w:r/>
            <w:r>
              <w:rPr>
                <w:sz w:val="18"/>
              </w:rPr>
              <w:t>Old page: accepting applications for the 6th cohort. New page: “Fall 2026 Cohort is at Capacity” while still showing Apply Now. Resolve.</w:t>
            </w:r>
          </w:p>
        </w:tc>
      </w:tr>
      <w:tr>
        <w:tc>
          <w:tcPr>
            <w:tcW w:type="dxa" w:w="576"/>
          </w:tcPr>
          <w:p>
            <w:r/>
            <w:r>
              <w:rPr>
                <w:sz w:val="18"/>
              </w:rPr>
              <w:t>4</w:t>
            </w:r>
          </w:p>
        </w:tc>
        <w:tc>
          <w:tcPr>
            <w:tcW w:type="dxa" w:w="3744"/>
          </w:tcPr>
          <w:p>
            <w:r/>
            <w:r>
              <w:rPr>
                <w:b/>
                <w:sz w:val="18"/>
              </w:rPr>
              <w:t>Eligibility criteria altered</w:t>
            </w:r>
          </w:p>
        </w:tc>
        <w:tc>
          <w:tcPr>
            <w:tcW w:type="dxa" w:w="10512"/>
          </w:tcPr>
          <w:p>
            <w:r/>
            <w:r>
              <w:rPr>
                <w:sz w:val="18"/>
              </w:rPr>
              <w:t>“At least two years’ experience” softened to “preferably… post-licensure”; “sexuality studies” and a waiver policy added; psychoanalytic-theory exposure requirement and US referral-assistance offer dropped.</w:t>
            </w:r>
          </w:p>
        </w:tc>
      </w:tr>
      <w:tr>
        <w:tc>
          <w:tcPr>
            <w:tcW w:type="dxa" w:w="576"/>
          </w:tcPr>
          <w:p>
            <w:r/>
            <w:r>
              <w:rPr>
                <w:sz w:val="18"/>
              </w:rPr>
              <w:t>5</w:t>
            </w:r>
          </w:p>
        </w:tc>
        <w:tc>
          <w:tcPr>
            <w:tcW w:type="dxa" w:w="3744"/>
          </w:tcPr>
          <w:p>
            <w:r/>
            <w:r>
              <w:rPr>
                <w:b/>
                <w:sz w:val="18"/>
              </w:rPr>
              <w:t>Personal statement instructions removed</w:t>
            </w:r>
          </w:p>
        </w:tc>
        <w:tc>
          <w:tcPr>
            <w:tcW w:type="dxa" w:w="10512"/>
          </w:tcPr>
          <w:p>
            <w:r/>
            <w:r>
              <w:rPr>
                <w:sz w:val="18"/>
              </w:rPr>
              <w:t>Applicants have no prompt to write to. Restore the full instruction set.</w:t>
            </w:r>
          </w:p>
        </w:tc>
      </w:tr>
      <w:tr>
        <w:tc>
          <w:tcPr>
            <w:tcW w:type="dxa" w:w="576"/>
          </w:tcPr>
          <w:p>
            <w:r/>
            <w:r>
              <w:rPr>
                <w:sz w:val="18"/>
              </w:rPr>
              <w:t>6</w:t>
            </w:r>
          </w:p>
        </w:tc>
        <w:tc>
          <w:tcPr>
            <w:tcW w:type="dxa" w:w="3744"/>
          </w:tcPr>
          <w:p>
            <w:r/>
            <w:r>
              <w:rPr>
                <w:b/>
                <w:sz w:val="18"/>
              </w:rPr>
              <w:t>Application submission path removed</w:t>
            </w:r>
          </w:p>
        </w:tc>
        <w:tc>
          <w:tcPr>
            <w:tcW w:type="dxa" w:w="10512"/>
          </w:tcPr>
          <w:p>
            <w:r/>
            <w:r>
              <w:rPr>
                <w:sz w:val="18"/>
              </w:rPr>
              <w:t>No Blackbaud portal explanation, no account-creation link, no closing-date rule.</w:t>
            </w:r>
          </w:p>
        </w:tc>
      </w:tr>
      <w:tr>
        <w:tc>
          <w:tcPr>
            <w:tcW w:type="dxa" w:w="576"/>
          </w:tcPr>
          <w:p>
            <w:r/>
            <w:r>
              <w:rPr>
                <w:sz w:val="18"/>
              </w:rPr>
              <w:t>7</w:t>
            </w:r>
          </w:p>
        </w:tc>
        <w:tc>
          <w:tcPr>
            <w:tcW w:type="dxa" w:w="3744"/>
          </w:tcPr>
          <w:p>
            <w:r/>
            <w:r>
              <w:rPr>
                <w:b/>
                <w:sz w:val="18"/>
              </w:rPr>
              <w:t>Phone number mismatch</w:t>
            </w:r>
          </w:p>
        </w:tc>
        <w:tc>
          <w:tcPr>
            <w:tcW w:type="dxa" w:w="10512"/>
          </w:tcPr>
          <w:p>
            <w:r/>
            <w:r>
              <w:rPr>
                <w:sz w:val="18"/>
              </w:rPr>
              <w:t>Carla Leone: 847-308-3660 (old) vs (847) 328-3695 (new). Transposed digits — verify.</w:t>
            </w:r>
          </w:p>
        </w:tc>
      </w:tr>
      <w:tr>
        <w:tc>
          <w:tcPr>
            <w:tcW w:type="dxa" w:w="576"/>
          </w:tcPr>
          <w:p>
            <w:r>
              <w:rPr>
                <w:b/>
                <w:color w:val="C00000"/>
                <w:sz w:val="16"/>
                <w:highlight w:val="yellow"/>
              </w:rPr>
              <w:t>★ CLIENT ITEM 1</w:t>
            </w:r>
          </w:p>
          <w:p>
            <w:r>
              <w:rPr>
                <w:highlight w:val="yellow"/>
              </w:rPr>
            </w:r>
            <w:r>
              <w:rPr>
                <w:sz w:val="18"/>
                <w:highlight w:val="yellow"/>
              </w:rPr>
              <w:t>8</w:t>
            </w:r>
          </w:p>
        </w:tc>
        <w:tc>
          <w:tcPr>
            <w:tcW w:type="dxa" w:w="3744"/>
          </w:tcPr>
          <w:p>
            <w:r>
              <w:rPr>
                <w:highlight w:val="yellow"/>
              </w:rPr>
            </w:r>
            <w:r>
              <w:rPr>
                <w:b/>
                <w:sz w:val="18"/>
                <w:highlight w:val="yellow"/>
              </w:rPr>
              <w:t>Class count mismatch</w:t>
            </w:r>
          </w:p>
        </w:tc>
        <w:tc>
          <w:tcPr>
            <w:tcW w:type="dxa" w:w="10512"/>
          </w:tcPr>
          <w:p>
            <w:r>
              <w:rPr>
                <w:highlight w:val="yellow"/>
              </w:rPr>
            </w:r>
            <w:r>
              <w:rPr>
                <w:sz w:val="18"/>
                <w:highlight w:val="yellow"/>
              </w:rPr>
              <w:t>10 guest-led of 29 (old) vs 12 of 28 (new).</w:t>
            </w:r>
          </w:p>
        </w:tc>
      </w:tr>
      <w:tr>
        <w:tc>
          <w:tcPr>
            <w:tcW w:type="dxa" w:w="576"/>
          </w:tcPr>
          <w:p>
            <w:r>
              <w:rPr>
                <w:b/>
                <w:color w:val="C00000"/>
                <w:sz w:val="16"/>
                <w:highlight w:val="yellow"/>
              </w:rPr>
              <w:t>★ CLIENT ITEM 1</w:t>
            </w:r>
          </w:p>
          <w:p>
            <w:r>
              <w:rPr>
                <w:highlight w:val="yellow"/>
              </w:rPr>
            </w:r>
            <w:r>
              <w:rPr>
                <w:sz w:val="18"/>
                <w:highlight w:val="yellow"/>
              </w:rPr>
              <w:t>9</w:t>
            </w:r>
          </w:p>
        </w:tc>
        <w:tc>
          <w:tcPr>
            <w:tcW w:type="dxa" w:w="3744"/>
          </w:tcPr>
          <w:p>
            <w:r>
              <w:rPr>
                <w:highlight w:val="yellow"/>
              </w:rPr>
            </w:r>
            <w:r>
              <w:rPr>
                <w:b/>
                <w:sz w:val="18"/>
                <w:highlight w:val="yellow"/>
              </w:rPr>
              <w:t>CE disclosure removed</w:t>
            </w:r>
          </w:p>
        </w:tc>
        <w:tc>
          <w:tcPr>
            <w:tcW w:type="dxa" w:w="10512"/>
          </w:tcPr>
          <w:p>
            <w:r>
              <w:rPr>
                <w:highlight w:val="yellow"/>
              </w:rPr>
            </w:r>
            <w:r>
              <w:rPr>
                <w:sz w:val="18"/>
                <w:highlight w:val="yellow"/>
              </w:rPr>
              <w:t>“CEs are not available for individual consultation hours.” Restore.</w:t>
            </w:r>
          </w:p>
        </w:tc>
      </w:tr>
      <w:tr>
        <w:tc>
          <w:tcPr>
            <w:tcW w:type="dxa" w:w="576"/>
          </w:tcPr>
          <w:p>
            <w:r/>
            <w:r>
              <w:rPr>
                <w:sz w:val="18"/>
              </w:rPr>
              <w:t>10</w:t>
            </w:r>
          </w:p>
        </w:tc>
        <w:tc>
          <w:tcPr>
            <w:tcW w:type="dxa" w:w="3744"/>
          </w:tcPr>
          <w:p>
            <w:r/>
            <w:r>
              <w:rPr>
                <w:b/>
                <w:sz w:val="18"/>
              </w:rPr>
              <w:t>Scholarship priority meaning changed</w:t>
            </w:r>
          </w:p>
        </w:tc>
        <w:tc>
          <w:tcPr>
            <w:tcW w:type="dxa" w:w="10512"/>
          </w:tcPr>
          <w:p>
            <w:r/>
            <w:r>
              <w:rPr>
                <w:sz w:val="18"/>
              </w:rPr>
              <w:t>Source prioritises clinicians who work with low-income couples; new page prioritises practitioners with low-income identities. Also missing how to request the application.</w:t>
            </w:r>
          </w:p>
        </w:tc>
      </w:tr>
      <w:tr>
        <w:tc>
          <w:tcPr>
            <w:tcW w:type="dxa" w:w="576"/>
          </w:tcPr>
          <w:p>
            <w:r/>
            <w:r>
              <w:rPr>
                <w:sz w:val="18"/>
              </w:rPr>
              <w:t>11</w:t>
            </w:r>
          </w:p>
        </w:tc>
        <w:tc>
          <w:tcPr>
            <w:tcW w:type="dxa" w:w="3744"/>
          </w:tcPr>
          <w:p>
            <w:r/>
            <w:r>
              <w:rPr>
                <w:b/>
                <w:sz w:val="18"/>
              </w:rPr>
              <w:t>Broken CTA links</w:t>
            </w:r>
          </w:p>
        </w:tc>
        <w:tc>
          <w:tcPr>
            <w:tcW w:type="dxa" w:w="10512"/>
          </w:tcPr>
          <w:p>
            <w:r/>
            <w:r>
              <w:rPr>
                <w:sz w:val="18"/>
              </w:rPr>
              <w:t>Two “Apply Now” / “Schedule Consultation” buttons render with no href.</w:t>
            </w:r>
          </w:p>
        </w:tc>
      </w:tr>
      <w:tr>
        <w:tc>
          <w:tcPr>
            <w:tcW w:type="dxa" w:w="576"/>
          </w:tcPr>
          <w:p>
            <w:r>
              <w:rPr>
                <w:b/>
                <w:color w:val="C00000"/>
                <w:sz w:val="16"/>
                <w:highlight w:val="yellow"/>
              </w:rPr>
              <w:t>★ CLIENT ITEM 5</w:t>
            </w:r>
          </w:p>
          <w:p>
            <w:r>
              <w:rPr>
                <w:highlight w:val="yellow"/>
              </w:rPr>
            </w:r>
            <w:r>
              <w:rPr>
                <w:sz w:val="18"/>
                <w:highlight w:val="yellow"/>
              </w:rPr>
              <w:t>12</w:t>
            </w:r>
          </w:p>
        </w:tc>
        <w:tc>
          <w:tcPr>
            <w:tcW w:type="dxa" w:w="3744"/>
          </w:tcPr>
          <w:p>
            <w:r>
              <w:rPr>
                <w:highlight w:val="yellow"/>
              </w:rPr>
            </w:r>
            <w:r>
              <w:rPr>
                <w:b/>
                <w:sz w:val="18"/>
                <w:highlight w:val="yellow"/>
              </w:rPr>
              <w:t>Duplicated sentence</w:t>
            </w:r>
          </w:p>
        </w:tc>
        <w:tc>
          <w:tcPr>
            <w:tcW w:type="dxa" w:w="10512"/>
          </w:tcPr>
          <w:p>
            <w:r>
              <w:rPr>
                <w:highlight w:val="yellow"/>
              </w:rPr>
            </w:r>
            <w:r>
              <w:rPr>
                <w:sz w:val="18"/>
                <w:highlight w:val="yellow"/>
              </w:rPr>
              <w:t>The Adjunct Clinical Consultants description prints twice in a row.</w:t>
            </w:r>
          </w:p>
        </w:tc>
      </w:tr>
      <w:tr>
        <w:tc>
          <w:tcPr>
            <w:tcW w:type="dxa" w:w="576"/>
          </w:tcPr>
          <w:p>
            <w:r/>
            <w:r>
              <w:rPr>
                <w:sz w:val="18"/>
              </w:rPr>
              <w:t>13</w:t>
            </w:r>
          </w:p>
        </w:tc>
        <w:tc>
          <w:tcPr>
            <w:tcW w:type="dxa" w:w="3744"/>
          </w:tcPr>
          <w:p>
            <w:r/>
            <w:r>
              <w:rPr>
                <w:b/>
                <w:sz w:val="18"/>
              </w:rPr>
              <w:t>Missing meta description</w:t>
            </w:r>
          </w:p>
        </w:tc>
        <w:tc>
          <w:tcPr>
            <w:tcW w:type="dxa" w:w="10512"/>
          </w:tcPr>
          <w:p>
            <w:r/>
            <w:r>
              <w:rPr>
                <w:sz w:val="18"/>
              </w:rPr>
              <w:t>New page has none. Old page had one.</w:t>
            </w:r>
          </w:p>
        </w:tc>
      </w:tr>
      <w:tr>
        <w:tc>
          <w:tcPr>
            <w:tcW w:type="dxa" w:w="576"/>
          </w:tcPr>
          <w:p>
            <w:r/>
            <w:r>
              <w:rPr>
                <w:sz w:val="18"/>
              </w:rPr>
              <w:t>14</w:t>
            </w:r>
          </w:p>
        </w:tc>
        <w:tc>
          <w:tcPr>
            <w:tcW w:type="dxa" w:w="3744"/>
          </w:tcPr>
          <w:p>
            <w:r/>
            <w:r>
              <w:rPr>
                <w:b/>
                <w:sz w:val="18"/>
              </w:rPr>
              <w:t>Proofreading</w:t>
            </w:r>
          </w:p>
        </w:tc>
        <w:tc>
          <w:tcPr>
            <w:tcW w:type="dxa" w:w="10512"/>
          </w:tcPr>
          <w:p>
            <w:r/>
            <w:r>
              <w:rPr>
                <w:sz w:val="18"/>
              </w:rPr>
              <w:t>“Tution”, “between thepartners”, “Related Experience Essay”, inconsistent credentials.</w:t>
            </w:r>
          </w:p>
        </w:tc>
      </w:tr>
      <w:tr>
        <w:tc>
          <w:tcPr>
            <w:tcW w:type="dxa" w:w="576"/>
          </w:tcPr>
          <w:p>
            <w:r>
              <w:rPr>
                <w:b/>
                <w:color w:val="C00000"/>
                <w:sz w:val="16"/>
                <w:highlight w:val="yellow"/>
              </w:rPr>
              <w:t>★ CLIENT ITEM 1, 4, 5</w:t>
            </w:r>
          </w:p>
          <w:p>
            <w:r>
              <w:rPr>
                <w:highlight w:val="yellow"/>
              </w:rPr>
            </w:r>
            <w:r>
              <w:rPr>
                <w:sz w:val="18"/>
                <w:highlight w:val="yellow"/>
              </w:rPr>
              <w:t>15</w:t>
            </w:r>
          </w:p>
        </w:tc>
        <w:tc>
          <w:tcPr>
            <w:tcW w:type="dxa" w:w="3744"/>
          </w:tcPr>
          <w:p>
            <w:r>
              <w:rPr>
                <w:highlight w:val="yellow"/>
              </w:rPr>
            </w:r>
            <w:r>
              <w:rPr>
                <w:b/>
                <w:sz w:val="18"/>
                <w:highlight w:val="yellow"/>
              </w:rPr>
              <w:t>Program detail thinned out</w:t>
            </w:r>
          </w:p>
        </w:tc>
        <w:tc>
          <w:tcPr>
            <w:tcW w:type="dxa" w:w="10512"/>
          </w:tcPr>
          <w:p>
            <w:r>
              <w:rPr>
                <w:highlight w:val="yellow"/>
              </w:rPr>
            </w:r>
            <w:r>
              <w:rPr>
                <w:sz w:val="18"/>
                <w:highlight w:val="yellow"/>
              </w:rPr>
              <w:t>Case conference structure, reading load, three required books, syllabus access, capstone publication option, and the peer-reviewed publication proof point are all gone. Consider expandable sections so nothing is lost.</w:t>
            </w:r>
          </w:p>
        </w:tc>
      </w:tr>
      <w:tr>
        <w:tc>
          <w:tcPr>
            <w:tcW w:type="dxa" w:w="576"/>
          </w:tcPr>
          <w:p>
            <w:r/>
            <w:r>
              <w:rPr>
                <w:sz w:val="18"/>
              </w:rPr>
              <w:t>16</w:t>
            </w:r>
          </w:p>
        </w:tc>
        <w:tc>
          <w:tcPr>
            <w:tcW w:type="dxa" w:w="3744"/>
          </w:tcPr>
          <w:p>
            <w:r/>
            <w:r>
              <w:rPr>
                <w:b/>
                <w:sz w:val="18"/>
              </w:rPr>
              <w:t>Redirect</w:t>
            </w:r>
          </w:p>
        </w:tc>
        <w:tc>
          <w:tcPr>
            <w:tcW w:type="dxa" w:w="10512"/>
          </w:tcPr>
          <w:p>
            <w:r/>
            <w:r>
              <w:rPr>
                <w:sz w:val="18"/>
              </w:rPr>
              <w:t>301 /coupletherapy → /continuing-education/integrative-psychoanalytic-couple-therapy/ and update internal links.</w:t>
            </w:r>
          </w:p>
        </w:tc>
      </w:tr>
    </w:tbl>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