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DC3" w:rsidRPr="00BD1101" w:rsidRDefault="002D592E" w:rsidP="00BD1101">
      <w:pPr>
        <w:spacing w:after="0" w:line="240" w:lineRule="auto"/>
        <w:jc w:val="center"/>
        <w:rPr>
          <w:b/>
          <w:sz w:val="24"/>
          <w:szCs w:val="24"/>
        </w:rPr>
      </w:pPr>
      <w:bookmarkStart w:id="0" w:name="_GoBack"/>
      <w:bookmarkEnd w:id="0"/>
      <w:r>
        <w:rPr>
          <w:b/>
          <w:sz w:val="24"/>
          <w:szCs w:val="24"/>
        </w:rPr>
        <w:t>GIS Processing Steps f</w:t>
      </w:r>
      <w:r w:rsidR="00E25DC3" w:rsidRPr="00BD1101">
        <w:rPr>
          <w:b/>
          <w:sz w:val="24"/>
          <w:szCs w:val="24"/>
        </w:rPr>
        <w:t xml:space="preserve">or </w:t>
      </w:r>
      <w:r w:rsidR="007009A0">
        <w:rPr>
          <w:b/>
          <w:sz w:val="24"/>
          <w:szCs w:val="24"/>
        </w:rPr>
        <w:t>Alaska NPLCC</w:t>
      </w:r>
      <w:r w:rsidR="00E25DC3" w:rsidRPr="00BD1101">
        <w:rPr>
          <w:b/>
          <w:sz w:val="24"/>
          <w:szCs w:val="24"/>
        </w:rPr>
        <w:t xml:space="preserve"> LandCarbon Cover Types</w:t>
      </w:r>
    </w:p>
    <w:p w:rsidR="00E25DC3" w:rsidRDefault="00E25DC3" w:rsidP="00E25DC3">
      <w:pPr>
        <w:spacing w:after="0" w:line="240" w:lineRule="auto"/>
        <w:jc w:val="center"/>
        <w:rPr>
          <w:b/>
          <w:u w:val="single"/>
        </w:rPr>
      </w:pPr>
    </w:p>
    <w:p w:rsidR="00BD1101" w:rsidRPr="00BD1101" w:rsidRDefault="00BD1101" w:rsidP="00E25DC3">
      <w:pPr>
        <w:spacing w:after="0" w:line="240" w:lineRule="auto"/>
        <w:rPr>
          <w:b/>
          <w:u w:val="single"/>
        </w:rPr>
      </w:pPr>
      <w:r w:rsidRPr="00BD1101">
        <w:rPr>
          <w:b/>
          <w:u w:val="single"/>
        </w:rPr>
        <w:t>Overview</w:t>
      </w:r>
    </w:p>
    <w:p w:rsidR="0068565C" w:rsidRDefault="0068565C" w:rsidP="00E25DC3">
      <w:pPr>
        <w:spacing w:after="0" w:line="240" w:lineRule="auto"/>
      </w:pPr>
      <w:r>
        <w:t xml:space="preserve">A modified land cover is needed to assign known values for carbon stock and flux to landscape units across the </w:t>
      </w:r>
      <w:r w:rsidR="007009A0">
        <w:t xml:space="preserve">Alaska </w:t>
      </w:r>
      <w:r>
        <w:t>coastal forest region. We integrated information from existing data sources to obtain a useful landscape stratification to address the need for an adequate land cover designation. The following review provides information on the input data, processing steps, and results.</w:t>
      </w:r>
    </w:p>
    <w:p w:rsidR="0068565C" w:rsidRDefault="0068565C" w:rsidP="00E25DC3">
      <w:pPr>
        <w:spacing w:after="0" w:line="240" w:lineRule="auto"/>
      </w:pPr>
    </w:p>
    <w:p w:rsidR="00E25DC3" w:rsidRDefault="0068565C" w:rsidP="00E25DC3">
      <w:pPr>
        <w:spacing w:after="0" w:line="240" w:lineRule="auto"/>
      </w:pPr>
      <w:r>
        <w:t>We have carbon data for three functional landscape types in southeast Alaska</w:t>
      </w:r>
      <w:r w:rsidR="001B1BE5">
        <w:t xml:space="preserve"> (SEAK)</w:t>
      </w:r>
      <w:r>
        <w:t xml:space="preserve">: upland forests, forested wetlands, and fens. </w:t>
      </w:r>
      <w:r w:rsidR="00771085">
        <w:t xml:space="preserve">Sites for which we have carbon data are </w:t>
      </w:r>
      <w:r w:rsidR="0044128A">
        <w:t>located in</w:t>
      </w:r>
      <w:r w:rsidR="00771085">
        <w:t xml:space="preserve"> the </w:t>
      </w:r>
      <w:r w:rsidR="001B1BE5">
        <w:t>eas</w:t>
      </w:r>
      <w:r w:rsidR="00771085">
        <w:t>tern portion of the Alaska North Pacific Landscape Con</w:t>
      </w:r>
      <w:r w:rsidR="0044128A">
        <w:t xml:space="preserve">servation Cooperative (AK NPLCC; </w:t>
      </w:r>
      <w:r w:rsidR="00771085">
        <w:t xml:space="preserve">Figure 1). </w:t>
      </w:r>
      <w:r w:rsidR="007009A0">
        <w:t xml:space="preserve">We </w:t>
      </w:r>
      <w:r w:rsidR="00771085">
        <w:t>will use these data to estimate carbon across the entire AK NPLCC</w:t>
      </w:r>
      <w:r w:rsidR="002D592E">
        <w:t xml:space="preserve"> extent</w:t>
      </w:r>
      <w:r w:rsidR="00771085">
        <w:t xml:space="preserve">.  In this document we will refer to the </w:t>
      </w:r>
      <w:r w:rsidR="002D592E">
        <w:t>eas</w:t>
      </w:r>
      <w:r w:rsidR="00771085">
        <w:t xml:space="preserve">tern portion of the AK NPLCC as </w:t>
      </w:r>
      <w:r w:rsidR="001B1BE5">
        <w:t>SEAK</w:t>
      </w:r>
      <w:r w:rsidR="00771085">
        <w:t xml:space="preserve">, and the </w:t>
      </w:r>
      <w:r w:rsidR="002D592E">
        <w:t>we</w:t>
      </w:r>
      <w:r w:rsidR="00771085">
        <w:t xml:space="preserve">stern portion as </w:t>
      </w:r>
      <w:r w:rsidR="001B1BE5">
        <w:t xml:space="preserve">south-central Alaska (SCAK; </w:t>
      </w:r>
      <w:r w:rsidR="00771085">
        <w:t xml:space="preserve">Figure 1). </w:t>
      </w:r>
      <w:r>
        <w:t xml:space="preserve">The GIS steps below use the National Land Cover Dataset (NLCD) to partition the </w:t>
      </w:r>
      <w:r w:rsidR="0044128A">
        <w:t xml:space="preserve">AK NPLCC </w:t>
      </w:r>
      <w:r>
        <w:t xml:space="preserve">into the three land cover classes </w:t>
      </w:r>
      <w:r w:rsidR="0044128A">
        <w:t xml:space="preserve">(upland forest, forested wetland, and fen) </w:t>
      </w:r>
      <w:r>
        <w:t xml:space="preserve">for subsequent inclusion in TEM. </w:t>
      </w:r>
      <w:r w:rsidR="00E25DC3">
        <w:t xml:space="preserve">The GIS processing steps were developed using ArcMap version 10.1 software. </w:t>
      </w:r>
      <w:r>
        <w:t>We would like to find a more efficient processing structure, but have used the ArcMap approach in the present example. T</w:t>
      </w:r>
      <w:r w:rsidR="00B43672">
        <w:t xml:space="preserve">he </w:t>
      </w:r>
      <w:r>
        <w:t>description of the processing steps contains</w:t>
      </w:r>
      <w:r w:rsidR="00E25DC3">
        <w:t xml:space="preserve"> sufficient information </w:t>
      </w:r>
      <w:r>
        <w:t>to modify</w:t>
      </w:r>
      <w:r w:rsidR="003570C1">
        <w:t xml:space="preserve"> </w:t>
      </w:r>
      <w:r w:rsidR="00B43672">
        <w:t>the procedure for use with alternative software or programming</w:t>
      </w:r>
      <w:r w:rsidR="003570C1">
        <w:t xml:space="preserve"> methods</w:t>
      </w:r>
      <w:r w:rsidR="00B43672">
        <w:t>.</w:t>
      </w:r>
    </w:p>
    <w:p w:rsidR="00A947D5" w:rsidRDefault="00A947D5" w:rsidP="00E25DC3">
      <w:pPr>
        <w:spacing w:after="0" w:line="240" w:lineRule="auto"/>
      </w:pPr>
    </w:p>
    <w:p w:rsidR="003570C1" w:rsidRDefault="00E25DC3" w:rsidP="00E25DC3">
      <w:pPr>
        <w:spacing w:after="0" w:line="240" w:lineRule="auto"/>
      </w:pPr>
      <w:r>
        <w:t xml:space="preserve">NLCD does a very poor job mapping forested wetlands and fens </w:t>
      </w:r>
      <w:r w:rsidR="00E11FDF">
        <w:t xml:space="preserve">in SEAK </w:t>
      </w:r>
      <w:r>
        <w:t xml:space="preserve">within </w:t>
      </w:r>
      <w:r w:rsidR="00A947D5">
        <w:t>its</w:t>
      </w:r>
      <w:r>
        <w:t xml:space="preserve"> “woody wetland” and “emergent herbaceous wetland” classes. These classes are vastly under-</w:t>
      </w:r>
      <w:r w:rsidR="000126A1">
        <w:t>mapped</w:t>
      </w:r>
      <w:r>
        <w:t xml:space="preserve"> in the NLCD </w:t>
      </w:r>
      <w:r w:rsidR="003570C1">
        <w:t>over</w:t>
      </w:r>
      <w:r w:rsidR="00A947D5">
        <w:t xml:space="preserve"> the SEAK landscape</w:t>
      </w:r>
      <w:r>
        <w:t xml:space="preserve">. Instead, </w:t>
      </w:r>
      <w:r w:rsidR="00A947D5">
        <w:t xml:space="preserve">forested wetland </w:t>
      </w:r>
      <w:r w:rsidR="005F06D1">
        <w:t xml:space="preserve">is represented </w:t>
      </w:r>
      <w:r w:rsidR="00242FED">
        <w:t xml:space="preserve">most </w:t>
      </w:r>
      <w:r w:rsidR="005F06D1">
        <w:t xml:space="preserve">by </w:t>
      </w:r>
      <w:r w:rsidR="0068565C">
        <w:t xml:space="preserve">the </w:t>
      </w:r>
      <w:r>
        <w:t>NLCD class “mixed forest”</w:t>
      </w:r>
      <w:r w:rsidR="000126A1">
        <w:t>, and also</w:t>
      </w:r>
      <w:r w:rsidR="00A947D5">
        <w:t xml:space="preserve"> </w:t>
      </w:r>
      <w:r w:rsidR="000126A1">
        <w:t xml:space="preserve">as </w:t>
      </w:r>
      <w:r w:rsidR="00A947D5">
        <w:t xml:space="preserve">“shrub/scrub.”  Fens </w:t>
      </w:r>
      <w:r w:rsidR="00E11FDF">
        <w:t xml:space="preserve">in SEAK </w:t>
      </w:r>
      <w:r w:rsidR="00A947D5">
        <w:t xml:space="preserve">most commonly </w:t>
      </w:r>
      <w:r w:rsidR="002A386E">
        <w:t xml:space="preserve">appear </w:t>
      </w:r>
      <w:r w:rsidR="005F06D1">
        <w:t>with</w:t>
      </w:r>
      <w:r w:rsidR="002A386E">
        <w:t>in the</w:t>
      </w:r>
      <w:r w:rsidR="00A947D5">
        <w:t xml:space="preserve"> </w:t>
      </w:r>
      <w:r>
        <w:t>NLCD class “shrub/scrub</w:t>
      </w:r>
      <w:r w:rsidR="00E11FDF">
        <w:t>.</w:t>
      </w:r>
      <w:r w:rsidR="00A947D5">
        <w:t>”</w:t>
      </w:r>
      <w:r>
        <w:t xml:space="preserve">  </w:t>
      </w:r>
      <w:r w:rsidR="003570C1">
        <w:t xml:space="preserve">Although the NLCD </w:t>
      </w:r>
      <w:r w:rsidR="0068565C">
        <w:t xml:space="preserve">description </w:t>
      </w:r>
      <w:r w:rsidR="003570C1">
        <w:t>for “woody wetland” describe</w:t>
      </w:r>
      <w:r w:rsidR="0068565C">
        <w:t>s</w:t>
      </w:r>
      <w:r w:rsidR="003570C1">
        <w:t xml:space="preserve"> a forested wetland, the </w:t>
      </w:r>
      <w:r w:rsidR="005F06D1">
        <w:t xml:space="preserve">actual </w:t>
      </w:r>
      <w:r w:rsidR="003570C1">
        <w:t xml:space="preserve">areas on the landscape (when overlaid on an orthophoto) are </w:t>
      </w:r>
      <w:r w:rsidR="005F06D1">
        <w:t>usually</w:t>
      </w:r>
      <w:r w:rsidR="003570C1">
        <w:t xml:space="preserve"> fens.  </w:t>
      </w:r>
      <w:r w:rsidR="00E11FDF">
        <w:t xml:space="preserve">Many fens are also mapped as NLCD class “dwarf scrub.”  </w:t>
      </w:r>
      <w:r>
        <w:t xml:space="preserve">The “shrub/scrub” </w:t>
      </w:r>
      <w:r w:rsidR="00E11FDF">
        <w:t xml:space="preserve">and “dwarf/scrub” </w:t>
      </w:r>
      <w:r>
        <w:t>class</w:t>
      </w:r>
      <w:r w:rsidR="00E11FDF">
        <w:t>es</w:t>
      </w:r>
      <w:r>
        <w:t xml:space="preserve"> also </w:t>
      </w:r>
      <w:r w:rsidR="00E11FDF">
        <w:t>cover</w:t>
      </w:r>
      <w:r>
        <w:t xml:space="preserve"> large areas of rock, </w:t>
      </w:r>
      <w:r w:rsidR="00873D95">
        <w:t xml:space="preserve">second-growth (logged areas), </w:t>
      </w:r>
      <w:r>
        <w:t xml:space="preserve">alpine, </w:t>
      </w:r>
      <w:r w:rsidR="00E528BF">
        <w:t xml:space="preserve">brush, </w:t>
      </w:r>
      <w:r>
        <w:t xml:space="preserve">high elevation forest, and alder slopes. The NLCD class “deciduous forest” is </w:t>
      </w:r>
      <w:r w:rsidR="0068565C">
        <w:t xml:space="preserve">highly variable </w:t>
      </w:r>
      <w:r>
        <w:t xml:space="preserve">and appears to incorrectly identify with </w:t>
      </w:r>
      <w:r w:rsidR="0068565C">
        <w:t xml:space="preserve">many </w:t>
      </w:r>
      <w:r w:rsidR="000126A1">
        <w:t>cover</w:t>
      </w:r>
      <w:r>
        <w:t xml:space="preserve"> types:  rock, </w:t>
      </w:r>
      <w:r w:rsidR="0014213E">
        <w:t xml:space="preserve">second-growth (logged areas), </w:t>
      </w:r>
      <w:r>
        <w:t xml:space="preserve">high elevation forests, evergreen and mixed forests, forested wetlands and fens (as well as riparian, alder and brush areas).  </w:t>
      </w:r>
    </w:p>
    <w:p w:rsidR="003570C1" w:rsidRDefault="003570C1" w:rsidP="00E25DC3">
      <w:pPr>
        <w:spacing w:after="0" w:line="240" w:lineRule="auto"/>
      </w:pPr>
    </w:p>
    <w:p w:rsidR="00173124" w:rsidRDefault="00E25DC3" w:rsidP="00E25DC3">
      <w:pPr>
        <w:spacing w:after="0" w:line="240" w:lineRule="auto"/>
      </w:pPr>
      <w:r>
        <w:t xml:space="preserve">To better separate out the alder, brush, </w:t>
      </w:r>
      <w:r w:rsidR="00E528BF">
        <w:t>willow, and alpine</w:t>
      </w:r>
      <w:r>
        <w:t xml:space="preserve"> types</w:t>
      </w:r>
      <w:r w:rsidR="00BF68D4">
        <w:t xml:space="preserve"> from upland forests, forested wetlands, and bogs</w:t>
      </w:r>
      <w:r w:rsidR="006A2D81">
        <w:t xml:space="preserve"> in SEAK</w:t>
      </w:r>
      <w:r>
        <w:t>, we use</w:t>
      </w:r>
      <w:r w:rsidR="0068565C">
        <w:t>d</w:t>
      </w:r>
      <w:r>
        <w:t xml:space="preserve"> the </w:t>
      </w:r>
      <w:r w:rsidR="002A386E">
        <w:t>Tongass National Forest’s (</w:t>
      </w:r>
      <w:r>
        <w:t>TNF</w:t>
      </w:r>
      <w:r w:rsidR="0090322D">
        <w:t>; Figure 1</w:t>
      </w:r>
      <w:r w:rsidR="002A386E">
        <w:t>)</w:t>
      </w:r>
      <w:r w:rsidR="00BB17B2">
        <w:t xml:space="preserve"> </w:t>
      </w:r>
      <w:r>
        <w:t>cover type map</w:t>
      </w:r>
      <w:r w:rsidR="000126A1">
        <w:t xml:space="preserve"> </w:t>
      </w:r>
      <w:r w:rsidR="00F13E45">
        <w:t>(</w:t>
      </w:r>
      <w:r w:rsidR="000126A1">
        <w:t>TNFCoverType)</w:t>
      </w:r>
      <w:r>
        <w:t>.</w:t>
      </w:r>
      <w:r w:rsidR="00173124">
        <w:t xml:space="preserve"> </w:t>
      </w:r>
      <w:r>
        <w:t xml:space="preserve"> Areas in TNFCoverType mapped as alder, brush, </w:t>
      </w:r>
      <w:r w:rsidR="00173124">
        <w:t xml:space="preserve">willow, </w:t>
      </w:r>
      <w:r>
        <w:t>alpine,</w:t>
      </w:r>
      <w:r w:rsidR="00173124">
        <w:t xml:space="preserve"> and </w:t>
      </w:r>
      <w:r>
        <w:t xml:space="preserve">slide zones </w:t>
      </w:r>
      <w:r w:rsidR="0068565C">
        <w:t xml:space="preserve">were </w:t>
      </w:r>
      <w:r>
        <w:t>used to classify areas in our final raster</w:t>
      </w:r>
      <w:r w:rsidR="00BB17B2">
        <w:t xml:space="preserve"> as “Other Veg”</w:t>
      </w:r>
      <w:r w:rsidR="00173124">
        <w:t xml:space="preserve">.  </w:t>
      </w:r>
      <w:r w:rsidR="00622C05">
        <w:t xml:space="preserve">The NLCD “pasture/hay” and “cultivated crops” cover types occur in SCAK and were also assigned to the Other Veg class. </w:t>
      </w:r>
      <w:r w:rsidR="00F13E45">
        <w:t xml:space="preserve"> Note that </w:t>
      </w:r>
      <w:r w:rsidR="00F13E45" w:rsidRPr="00F13E45">
        <w:t>pasture/hay</w:t>
      </w:r>
      <w:r w:rsidR="00F13E45">
        <w:t xml:space="preserve"> and </w:t>
      </w:r>
      <w:r w:rsidR="00F13E45" w:rsidRPr="00F13E45">
        <w:t>cultivated crops</w:t>
      </w:r>
      <w:r w:rsidR="00F13E45">
        <w:t xml:space="preserve"> only account for 109 hectares of the AK NPLCC. </w:t>
      </w:r>
      <w:r w:rsidR="00622C05">
        <w:t xml:space="preserve"> </w:t>
      </w:r>
      <w:r>
        <w:t xml:space="preserve">We do not have carbon data for the Other Veg class, so Other Veg </w:t>
      </w:r>
      <w:r w:rsidR="0068565C">
        <w:t xml:space="preserve">was </w:t>
      </w:r>
      <w:r>
        <w:t xml:space="preserve">assigned conservative values in our </w:t>
      </w:r>
      <w:r w:rsidR="0068565C">
        <w:t xml:space="preserve">landscape partitioning </w:t>
      </w:r>
      <w:r w:rsidR="00173124">
        <w:t xml:space="preserve">by treating these areas as fens. </w:t>
      </w:r>
    </w:p>
    <w:p w:rsidR="002A386E" w:rsidRDefault="00173124" w:rsidP="00E25DC3">
      <w:pPr>
        <w:spacing w:after="0" w:line="240" w:lineRule="auto"/>
      </w:pPr>
      <w:r>
        <w:t xml:space="preserve"> </w:t>
      </w:r>
    </w:p>
    <w:p w:rsidR="002A386E" w:rsidRDefault="002A386E" w:rsidP="00E25DC3">
      <w:pPr>
        <w:spacing w:after="0" w:line="240" w:lineRule="auto"/>
      </w:pPr>
      <w:r>
        <w:t>We were not able to evaluate the effectiveness of the NLCD in identifying upland forests, forested wetlands, and fens across SCAK</w:t>
      </w:r>
      <w:r w:rsidR="006A2D81">
        <w:t xml:space="preserve">. We were </w:t>
      </w:r>
      <w:r w:rsidR="00384F97">
        <w:t xml:space="preserve">also </w:t>
      </w:r>
      <w:r w:rsidR="006A2D81">
        <w:t xml:space="preserve">unable to find any ancillary vegetation datasets with wide SCAK coverage </w:t>
      </w:r>
      <w:r w:rsidR="00D4466D">
        <w:t>useful</w:t>
      </w:r>
      <w:r w:rsidR="006A2D81">
        <w:t xml:space="preserve"> </w:t>
      </w:r>
      <w:r w:rsidR="00384F97">
        <w:t>for refining</w:t>
      </w:r>
      <w:r w:rsidR="00D4466D">
        <w:t xml:space="preserve"> the NLCD classes</w:t>
      </w:r>
      <w:r w:rsidR="006A2D81">
        <w:t xml:space="preserve">.  </w:t>
      </w:r>
      <w:r w:rsidR="00BB17B2">
        <w:t>Although a detailed, high accuracy vegetation map exists for t</w:t>
      </w:r>
      <w:r w:rsidR="006A2D81">
        <w:t xml:space="preserve">he Copper </w:t>
      </w:r>
      <w:r w:rsidR="00BB17B2">
        <w:t>River Delta</w:t>
      </w:r>
      <w:r w:rsidR="006A2D81">
        <w:t xml:space="preserve">, </w:t>
      </w:r>
      <w:r w:rsidR="00BB17B2">
        <w:t>the map</w:t>
      </w:r>
      <w:r w:rsidR="006A2D81">
        <w:t xml:space="preserve"> only covers a small </w:t>
      </w:r>
      <w:r w:rsidR="00BB17B2">
        <w:t>portion of SCAK</w:t>
      </w:r>
      <w:r w:rsidR="006A2D81">
        <w:t>. The NLCD</w:t>
      </w:r>
      <w:r w:rsidR="00C6585C">
        <w:t xml:space="preserve"> is </w:t>
      </w:r>
      <w:r w:rsidR="00BB17B2">
        <w:t xml:space="preserve">considered </w:t>
      </w:r>
      <w:r w:rsidR="00C6585C">
        <w:t>the best land cover map available spanning the Chugach National Forest</w:t>
      </w:r>
      <w:r w:rsidR="00384F97">
        <w:t xml:space="preserve"> (</w:t>
      </w:r>
      <w:r w:rsidR="003F046F">
        <w:t xml:space="preserve">CNF; </w:t>
      </w:r>
      <w:r w:rsidR="00384F97">
        <w:t>DeVelice, 2012)</w:t>
      </w:r>
      <w:r w:rsidR="00C6585C">
        <w:t xml:space="preserve">, which makes up </w:t>
      </w:r>
      <w:r w:rsidR="00F90A1A">
        <w:t>about half</w:t>
      </w:r>
      <w:r w:rsidR="00C6585C">
        <w:t xml:space="preserve"> of SCAK.</w:t>
      </w:r>
      <w:r w:rsidR="00384F97">
        <w:t xml:space="preserve"> </w:t>
      </w:r>
      <w:r w:rsidR="007B6DFD">
        <w:t xml:space="preserve">For </w:t>
      </w:r>
      <w:r w:rsidR="00BB17B2">
        <w:t>SCAK and the other portions of the AK</w:t>
      </w:r>
      <w:r w:rsidR="008C5C74">
        <w:t xml:space="preserve"> </w:t>
      </w:r>
      <w:r w:rsidR="00BB17B2">
        <w:t>NPLCC falling outside of the TNF</w:t>
      </w:r>
      <w:r w:rsidR="00384F97">
        <w:t>,</w:t>
      </w:r>
      <w:r w:rsidR="007B6DFD" w:rsidRPr="007B6DFD">
        <w:t xml:space="preserve"> </w:t>
      </w:r>
      <w:r w:rsidR="007B6DFD">
        <w:t>only the NLCD is used for classifying vegetation.</w:t>
      </w:r>
      <w:r w:rsidR="00E528BF">
        <w:t xml:space="preserve"> The </w:t>
      </w:r>
      <w:r w:rsidR="00E528BF" w:rsidRPr="00E528BF">
        <w:rPr>
          <w:i/>
        </w:rPr>
        <w:t>Issues and Additional Information</w:t>
      </w:r>
      <w:r w:rsidR="00E528BF">
        <w:t xml:space="preserve"> section at </w:t>
      </w:r>
      <w:r w:rsidR="00E528BF">
        <w:lastRenderedPageBreak/>
        <w:t>the end of this document contains a list of other vegetation map</w:t>
      </w:r>
      <w:r w:rsidR="00173124">
        <w:t xml:space="preserve"> sources</w:t>
      </w:r>
      <w:r w:rsidR="00E528BF">
        <w:t xml:space="preserve"> that</w:t>
      </w:r>
      <w:r w:rsidR="00173124">
        <w:t xml:space="preserve">, if needed, </w:t>
      </w:r>
      <w:r w:rsidR="00E528BF">
        <w:t xml:space="preserve">could be used </w:t>
      </w:r>
      <w:r w:rsidR="00173124">
        <w:t xml:space="preserve">to </w:t>
      </w:r>
      <w:r w:rsidR="00E528BF">
        <w:t xml:space="preserve">refine the </w:t>
      </w:r>
      <w:r w:rsidR="00173124">
        <w:t>cover type</w:t>
      </w:r>
      <w:r w:rsidR="00E528BF">
        <w:t xml:space="preserve"> class</w:t>
      </w:r>
      <w:r w:rsidR="00173124">
        <w:t>e</w:t>
      </w:r>
      <w:r w:rsidR="00E528BF">
        <w:t xml:space="preserve">s used in LandCarbon for </w:t>
      </w:r>
      <w:r w:rsidR="00173124">
        <w:t xml:space="preserve">various portions of </w:t>
      </w:r>
      <w:r w:rsidR="00E528BF">
        <w:t xml:space="preserve">SCAK </w:t>
      </w:r>
      <w:r w:rsidR="00173124">
        <w:t>and SEAK</w:t>
      </w:r>
      <w:r w:rsidR="00E528BF">
        <w:t>.</w:t>
      </w:r>
    </w:p>
    <w:p w:rsidR="00A947D5" w:rsidRDefault="00A947D5" w:rsidP="00E25DC3">
      <w:pPr>
        <w:spacing w:after="0" w:line="240" w:lineRule="auto"/>
      </w:pPr>
    </w:p>
    <w:p w:rsidR="00022681" w:rsidRDefault="00A947D5" w:rsidP="00E25DC3">
      <w:pPr>
        <w:spacing w:after="0" w:line="240" w:lineRule="auto"/>
      </w:pPr>
      <w:r>
        <w:t xml:space="preserve">To better distinguish </w:t>
      </w:r>
      <w:r w:rsidR="00BB17B2">
        <w:t>AK</w:t>
      </w:r>
      <w:r w:rsidR="008C5C74">
        <w:t xml:space="preserve"> </w:t>
      </w:r>
      <w:r w:rsidR="00BB17B2">
        <w:t xml:space="preserve">NPLCC </w:t>
      </w:r>
      <w:r w:rsidR="00BF68D4">
        <w:t xml:space="preserve">upland forests and </w:t>
      </w:r>
      <w:r>
        <w:t>forested wetland</w:t>
      </w:r>
      <w:r w:rsidR="00BF68D4">
        <w:t>s</w:t>
      </w:r>
      <w:r>
        <w:t xml:space="preserve"> </w:t>
      </w:r>
      <w:r w:rsidR="00BF68D4">
        <w:t>from</w:t>
      </w:r>
      <w:r>
        <w:t xml:space="preserve"> fen cover types, we use</w:t>
      </w:r>
      <w:r w:rsidR="0068565C">
        <w:t>d</w:t>
      </w:r>
      <w:r>
        <w:t xml:space="preserve"> the NLCD percent tree canopy raster.</w:t>
      </w:r>
      <w:r w:rsidR="000126A1">
        <w:t xml:space="preserve">  NLCD </w:t>
      </w:r>
      <w:r w:rsidR="006B07CD">
        <w:t>vegetation</w:t>
      </w:r>
      <w:r w:rsidR="000126A1">
        <w:t xml:space="preserve"> classes with &lt;= 20% tree canopy cover </w:t>
      </w:r>
      <w:r w:rsidR="0068565C">
        <w:t xml:space="preserve">were </w:t>
      </w:r>
      <w:r w:rsidR="000126A1">
        <w:t xml:space="preserve">classified in our final raster as fens. Areas with &gt; 20% </w:t>
      </w:r>
      <w:r w:rsidR="0068565C">
        <w:t xml:space="preserve">were </w:t>
      </w:r>
      <w:r w:rsidR="000126A1">
        <w:t xml:space="preserve">classified as forested wetlands or uplands. </w:t>
      </w:r>
      <w:r w:rsidR="00BF68D4">
        <w:t xml:space="preserve"> </w:t>
      </w:r>
    </w:p>
    <w:p w:rsidR="00022681" w:rsidRDefault="00022681" w:rsidP="00E25DC3">
      <w:pPr>
        <w:spacing w:after="0" w:line="240" w:lineRule="auto"/>
      </w:pPr>
    </w:p>
    <w:p w:rsidR="00375BE8" w:rsidRDefault="00375BE8" w:rsidP="00E25DC3">
      <w:pPr>
        <w:spacing w:after="0" w:line="240" w:lineRule="auto"/>
      </w:pPr>
      <w:r>
        <w:t xml:space="preserve">To identify areas of second-growth forests, we combined GIS datasets of timber harvest from several sources:   </w:t>
      </w:r>
    </w:p>
    <w:p w:rsidR="00375BE8" w:rsidRDefault="00375BE8" w:rsidP="00375BE8">
      <w:pPr>
        <w:pStyle w:val="ListParagraph"/>
        <w:numPr>
          <w:ilvl w:val="0"/>
          <w:numId w:val="4"/>
        </w:numPr>
        <w:spacing w:after="0" w:line="240" w:lineRule="auto"/>
      </w:pPr>
      <w:r>
        <w:t>a</w:t>
      </w:r>
      <w:r w:rsidR="00022681">
        <w:t xml:space="preserve"> USFS G</w:t>
      </w:r>
      <w:r w:rsidR="00725942">
        <w:t>IS layer of logging activities</w:t>
      </w:r>
      <w:r w:rsidR="00022681">
        <w:t xml:space="preserve"> </w:t>
      </w:r>
      <w:r w:rsidR="00B721A2">
        <w:t xml:space="preserve">within the </w:t>
      </w:r>
      <w:r w:rsidR="00BB17B2">
        <w:t>TNF,</w:t>
      </w:r>
      <w:r w:rsidR="00B721A2">
        <w:t xml:space="preserve"> </w:t>
      </w:r>
    </w:p>
    <w:p w:rsidR="00375BE8" w:rsidRDefault="00375BE8" w:rsidP="00375BE8">
      <w:pPr>
        <w:pStyle w:val="ListParagraph"/>
        <w:numPr>
          <w:ilvl w:val="0"/>
          <w:numId w:val="4"/>
        </w:numPr>
        <w:spacing w:after="0" w:line="240" w:lineRule="auto"/>
      </w:pPr>
      <w:r>
        <w:t>a</w:t>
      </w:r>
      <w:r w:rsidR="00725942">
        <w:t xml:space="preserve"> </w:t>
      </w:r>
      <w:r w:rsidR="00B721A2">
        <w:t xml:space="preserve">Nature Conservancy </w:t>
      </w:r>
      <w:r w:rsidR="00725942">
        <w:t>GIS layer of h</w:t>
      </w:r>
      <w:r w:rsidR="00B721A2">
        <w:t>arvest in SEAK on non-USFS land</w:t>
      </w:r>
      <w:r w:rsidR="00725942">
        <w:t xml:space="preserve">, </w:t>
      </w:r>
    </w:p>
    <w:p w:rsidR="005225E8" w:rsidRDefault="005225E8" w:rsidP="00375BE8">
      <w:pPr>
        <w:pStyle w:val="ListParagraph"/>
        <w:numPr>
          <w:ilvl w:val="0"/>
          <w:numId w:val="4"/>
        </w:numPr>
        <w:spacing w:after="0" w:line="240" w:lineRule="auto"/>
      </w:pPr>
      <w:r>
        <w:t>GIS datasets from the State of Alaska of harvests on State, Mental Health Trust, and UA land from Yakataga/Icy Bay through SEAK, and</w:t>
      </w:r>
    </w:p>
    <w:p w:rsidR="005225E8" w:rsidRDefault="005225E8" w:rsidP="00375BE8">
      <w:pPr>
        <w:pStyle w:val="ListParagraph"/>
        <w:numPr>
          <w:ilvl w:val="0"/>
          <w:numId w:val="4"/>
        </w:numPr>
        <w:spacing w:after="0" w:line="240" w:lineRule="auto"/>
      </w:pPr>
      <w:r>
        <w:t>Screen digitizing from high resolution digital orthophotos</w:t>
      </w:r>
      <w:r w:rsidR="00022681">
        <w:t xml:space="preserve">  </w:t>
      </w:r>
    </w:p>
    <w:p w:rsidR="00A21690" w:rsidRPr="006621F9" w:rsidRDefault="005225E8" w:rsidP="005225E8">
      <w:pPr>
        <w:spacing w:after="0" w:line="240" w:lineRule="auto"/>
        <w:rPr>
          <w:color w:val="000000" w:themeColor="text1"/>
        </w:rPr>
      </w:pPr>
      <w:r>
        <w:t>Because the NLCD</w:t>
      </w:r>
      <w:r w:rsidR="00C143DB">
        <w:t xml:space="preserve"> does not do a good job classifying vegetation cover in second-growth forest stands, we will use the harvest for two purposes:  1) to assign a value of upland forest</w:t>
      </w:r>
      <w:r w:rsidR="006E1D29">
        <w:t xml:space="preserve"> where timber harvest has occurred, and 2) to create a separate raster dataset identifying </w:t>
      </w:r>
      <w:r w:rsidR="00664347">
        <w:t>second-</w:t>
      </w:r>
      <w:r w:rsidR="00022681">
        <w:t xml:space="preserve">growth areas on the landscape with </w:t>
      </w:r>
      <w:r w:rsidR="00664347">
        <w:t xml:space="preserve">a value for the year </w:t>
      </w:r>
      <w:r w:rsidR="00022681">
        <w:t>harvest</w:t>
      </w:r>
      <w:r w:rsidR="00664347">
        <w:t>ed. A carbon accretion curve that uses stand age to assign carbon stock values will provide the carbon estimates for these cells</w:t>
      </w:r>
      <w:r w:rsidR="006E1D29">
        <w:t xml:space="preserve"> at some point within the TEM model</w:t>
      </w:r>
      <w:r w:rsidR="00664347">
        <w:t xml:space="preserve">.  </w:t>
      </w:r>
      <w:r w:rsidR="006E1D29" w:rsidRPr="006621F9">
        <w:rPr>
          <w:color w:val="000000" w:themeColor="text1"/>
        </w:rPr>
        <w:t xml:space="preserve">No second-growth areas were </w:t>
      </w:r>
      <w:r w:rsidR="00AB0B3E" w:rsidRPr="006621F9">
        <w:rPr>
          <w:color w:val="000000" w:themeColor="text1"/>
        </w:rPr>
        <w:t>included</w:t>
      </w:r>
      <w:r w:rsidR="006E1D29" w:rsidRPr="006621F9">
        <w:rPr>
          <w:color w:val="000000" w:themeColor="text1"/>
        </w:rPr>
        <w:t xml:space="preserve"> west of </w:t>
      </w:r>
      <w:r w:rsidR="0022481E" w:rsidRPr="006621F9">
        <w:rPr>
          <w:color w:val="000000" w:themeColor="text1"/>
        </w:rPr>
        <w:t>Yakataga/Icy Bay</w:t>
      </w:r>
      <w:r w:rsidR="0022481E">
        <w:rPr>
          <w:color w:val="000000" w:themeColor="text1"/>
        </w:rPr>
        <w:t xml:space="preserve"> (i.e., west of approximately 142.55° W longitude)</w:t>
      </w:r>
      <w:r w:rsidR="006E1D29" w:rsidRPr="006621F9">
        <w:rPr>
          <w:color w:val="000000" w:themeColor="text1"/>
        </w:rPr>
        <w:t xml:space="preserve">.  Although we obtained </w:t>
      </w:r>
      <w:r w:rsidR="0022481E">
        <w:rPr>
          <w:color w:val="000000" w:themeColor="text1"/>
        </w:rPr>
        <w:t xml:space="preserve">a </w:t>
      </w:r>
      <w:r w:rsidR="0022481E" w:rsidRPr="006621F9">
        <w:rPr>
          <w:color w:val="000000" w:themeColor="text1"/>
        </w:rPr>
        <w:t>harvest activity</w:t>
      </w:r>
      <w:r w:rsidR="0022481E">
        <w:rPr>
          <w:color w:val="000000" w:themeColor="text1"/>
        </w:rPr>
        <w:t xml:space="preserve"> </w:t>
      </w:r>
      <w:r w:rsidR="006E1D29" w:rsidRPr="006621F9">
        <w:rPr>
          <w:color w:val="000000" w:themeColor="text1"/>
        </w:rPr>
        <w:t xml:space="preserve">GIS layer from the CNF, </w:t>
      </w:r>
      <w:r w:rsidR="006621F9" w:rsidRPr="006621F9">
        <w:rPr>
          <w:color w:val="000000" w:themeColor="text1"/>
        </w:rPr>
        <w:t xml:space="preserve">we were unable to </w:t>
      </w:r>
      <w:r w:rsidR="006621F9">
        <w:rPr>
          <w:color w:val="000000" w:themeColor="text1"/>
        </w:rPr>
        <w:t>assess</w:t>
      </w:r>
      <w:r w:rsidR="006621F9" w:rsidRPr="006621F9">
        <w:rPr>
          <w:color w:val="000000" w:themeColor="text1"/>
        </w:rPr>
        <w:t xml:space="preserve"> the data quality and some</w:t>
      </w:r>
      <w:r w:rsidR="006E1D29" w:rsidRPr="006621F9">
        <w:rPr>
          <w:color w:val="000000" w:themeColor="text1"/>
        </w:rPr>
        <w:t xml:space="preserve"> of the harvest date information was missing. The amount of area mapped as harvested is </w:t>
      </w:r>
      <w:r w:rsidR="006621F9" w:rsidRPr="006621F9">
        <w:rPr>
          <w:color w:val="000000" w:themeColor="text1"/>
        </w:rPr>
        <w:t>relatively</w:t>
      </w:r>
      <w:r w:rsidR="006E1D29" w:rsidRPr="006621F9">
        <w:rPr>
          <w:color w:val="000000" w:themeColor="text1"/>
        </w:rPr>
        <w:t xml:space="preserve"> small in the CNF</w:t>
      </w:r>
      <w:r w:rsidR="006621F9" w:rsidRPr="006621F9">
        <w:rPr>
          <w:color w:val="000000" w:themeColor="text1"/>
        </w:rPr>
        <w:t xml:space="preserve"> (about 64 km</w:t>
      </w:r>
      <w:r w:rsidR="006621F9" w:rsidRPr="006621F9">
        <w:rPr>
          <w:color w:val="000000" w:themeColor="text1"/>
          <w:vertAlign w:val="superscript"/>
        </w:rPr>
        <w:t>2</w:t>
      </w:r>
      <w:r w:rsidR="006621F9" w:rsidRPr="006621F9">
        <w:rPr>
          <w:color w:val="000000" w:themeColor="text1"/>
        </w:rPr>
        <w:t>)</w:t>
      </w:r>
      <w:r w:rsidR="006E1D29" w:rsidRPr="006621F9">
        <w:rPr>
          <w:color w:val="000000" w:themeColor="text1"/>
        </w:rPr>
        <w:t>, so we chose</w:t>
      </w:r>
      <w:r w:rsidR="005939D2" w:rsidRPr="006621F9">
        <w:rPr>
          <w:color w:val="000000" w:themeColor="text1"/>
        </w:rPr>
        <w:t xml:space="preserve"> to ignore second-growth west of Yakataga/Icy Bay.</w:t>
      </w:r>
    </w:p>
    <w:p w:rsidR="00A21690" w:rsidRDefault="00A21690" w:rsidP="00E25DC3">
      <w:pPr>
        <w:spacing w:after="0" w:line="240" w:lineRule="auto"/>
      </w:pPr>
    </w:p>
    <w:p w:rsidR="00B402F7" w:rsidRDefault="00A21690" w:rsidP="00E25DC3">
      <w:pPr>
        <w:spacing w:after="0" w:line="240" w:lineRule="auto"/>
      </w:pPr>
      <w:r>
        <w:t>A GIS layer depicti</w:t>
      </w:r>
      <w:r w:rsidR="005F06D1">
        <w:t xml:space="preserve">ng the mean high water (MHW), or </w:t>
      </w:r>
      <w:r>
        <w:t xml:space="preserve">estimated MHW, shoreline </w:t>
      </w:r>
      <w:r w:rsidR="00B721A2">
        <w:t>was</w:t>
      </w:r>
      <w:r>
        <w:t xml:space="preserve"> used to mask out pixels falling below mean high water</w:t>
      </w:r>
      <w:r w:rsidR="00B721A2">
        <w:t xml:space="preserve"> </w:t>
      </w:r>
      <w:r w:rsidR="005F06D1">
        <w:t>for the AK</w:t>
      </w:r>
      <w:r w:rsidR="008C5C74">
        <w:t xml:space="preserve"> </w:t>
      </w:r>
      <w:r w:rsidR="005F06D1">
        <w:t>NPLCC</w:t>
      </w:r>
      <w:r w:rsidR="00B402F7">
        <w:t xml:space="preserve">.  Comparing land cover visible in </w:t>
      </w:r>
      <w:proofErr w:type="spellStart"/>
      <w:r w:rsidR="00B402F7">
        <w:t>ortho</w:t>
      </w:r>
      <w:proofErr w:type="spellEnd"/>
      <w:r w:rsidR="00B402F7">
        <w:t xml:space="preserve">-imagery against NLCD classifications revealed many errors in the NLCD values for land cover and percent canopy in areas normally below MHW. </w:t>
      </w:r>
    </w:p>
    <w:p w:rsidR="00B402F7" w:rsidRDefault="00B402F7" w:rsidP="00E25DC3">
      <w:pPr>
        <w:spacing w:after="0" w:line="240" w:lineRule="auto"/>
      </w:pPr>
    </w:p>
    <w:p w:rsidR="00E25DC3" w:rsidRDefault="00B402F7" w:rsidP="00E25DC3">
      <w:pPr>
        <w:spacing w:after="0" w:line="240" w:lineRule="auto"/>
      </w:pPr>
      <w:r>
        <w:t>T</w:t>
      </w:r>
      <w:r w:rsidR="006B07CD">
        <w:t xml:space="preserve">he final </w:t>
      </w:r>
      <w:r w:rsidR="005F06D1">
        <w:t>AK</w:t>
      </w:r>
      <w:r w:rsidR="008C5C74">
        <w:t xml:space="preserve"> </w:t>
      </w:r>
      <w:r w:rsidR="005F06D1">
        <w:t>NPLCC</w:t>
      </w:r>
      <w:r w:rsidR="006B07CD">
        <w:t xml:space="preserve"> LandCarbon raster </w:t>
      </w:r>
      <w:r w:rsidR="00664347">
        <w:t xml:space="preserve">values </w:t>
      </w:r>
      <w:r w:rsidR="006B07CD">
        <w:t>are:</w:t>
      </w:r>
    </w:p>
    <w:p w:rsidR="0068565C" w:rsidRDefault="0068565C" w:rsidP="00E25DC3">
      <w:pPr>
        <w:spacing w:after="0" w:line="240" w:lineRule="auto"/>
      </w:pPr>
    </w:p>
    <w:tbl>
      <w:tblPr>
        <w:tblStyle w:val="TableGrid"/>
        <w:tblW w:w="0" w:type="auto"/>
        <w:jc w:val="center"/>
        <w:tblLook w:val="04A0" w:firstRow="1" w:lastRow="0" w:firstColumn="1" w:lastColumn="0" w:noHBand="0" w:noVBand="1"/>
      </w:tblPr>
      <w:tblGrid>
        <w:gridCol w:w="1458"/>
        <w:gridCol w:w="5801"/>
      </w:tblGrid>
      <w:tr w:rsidR="006B07CD" w:rsidTr="00A21690">
        <w:trPr>
          <w:jc w:val="center"/>
        </w:trPr>
        <w:tc>
          <w:tcPr>
            <w:tcW w:w="1458" w:type="dxa"/>
          </w:tcPr>
          <w:p w:rsidR="006B07CD" w:rsidRPr="006B07CD" w:rsidRDefault="006B07CD" w:rsidP="006B07CD">
            <w:pPr>
              <w:jc w:val="center"/>
              <w:rPr>
                <w:b/>
              </w:rPr>
            </w:pPr>
            <w:r w:rsidRPr="006B07CD">
              <w:rPr>
                <w:b/>
              </w:rPr>
              <w:t>Cell Value</w:t>
            </w:r>
          </w:p>
        </w:tc>
        <w:tc>
          <w:tcPr>
            <w:tcW w:w="5801" w:type="dxa"/>
          </w:tcPr>
          <w:p w:rsidR="006B07CD" w:rsidRPr="006B07CD" w:rsidRDefault="006B07CD" w:rsidP="006B07CD">
            <w:pPr>
              <w:jc w:val="center"/>
              <w:rPr>
                <w:b/>
              </w:rPr>
            </w:pPr>
            <w:r w:rsidRPr="006B07CD">
              <w:rPr>
                <w:b/>
              </w:rPr>
              <w:t>Description</w:t>
            </w:r>
          </w:p>
        </w:tc>
      </w:tr>
      <w:tr w:rsidR="006B07CD" w:rsidTr="00A21690">
        <w:trPr>
          <w:jc w:val="center"/>
        </w:trPr>
        <w:tc>
          <w:tcPr>
            <w:tcW w:w="1458" w:type="dxa"/>
          </w:tcPr>
          <w:p w:rsidR="006B07CD" w:rsidRDefault="00B721A2" w:rsidP="006B07CD">
            <w:pPr>
              <w:jc w:val="center"/>
            </w:pPr>
            <w:r>
              <w:t>1</w:t>
            </w:r>
          </w:p>
        </w:tc>
        <w:tc>
          <w:tcPr>
            <w:tcW w:w="5801" w:type="dxa"/>
          </w:tcPr>
          <w:p w:rsidR="006B07CD" w:rsidRDefault="006B07CD" w:rsidP="006B07CD">
            <w:pPr>
              <w:jc w:val="center"/>
            </w:pPr>
            <w:r>
              <w:t>No Veg</w:t>
            </w:r>
            <w:r w:rsidR="000C3443">
              <w:t xml:space="preserve"> (rock, snow/ice, saltwater, freshwater, developed areas, sand, clay)</w:t>
            </w:r>
          </w:p>
        </w:tc>
      </w:tr>
      <w:tr w:rsidR="006B07CD" w:rsidTr="00A21690">
        <w:trPr>
          <w:jc w:val="center"/>
        </w:trPr>
        <w:tc>
          <w:tcPr>
            <w:tcW w:w="1458" w:type="dxa"/>
          </w:tcPr>
          <w:p w:rsidR="006B07CD" w:rsidRDefault="006B07CD" w:rsidP="006B07CD">
            <w:pPr>
              <w:jc w:val="center"/>
            </w:pPr>
            <w:r>
              <w:t>2</w:t>
            </w:r>
          </w:p>
        </w:tc>
        <w:tc>
          <w:tcPr>
            <w:tcW w:w="5801" w:type="dxa"/>
          </w:tcPr>
          <w:p w:rsidR="006B07CD" w:rsidRDefault="006B07CD" w:rsidP="006B07CD">
            <w:pPr>
              <w:jc w:val="center"/>
            </w:pPr>
            <w:r>
              <w:t>Upland</w:t>
            </w:r>
          </w:p>
        </w:tc>
      </w:tr>
      <w:tr w:rsidR="006B07CD" w:rsidTr="00A21690">
        <w:trPr>
          <w:jc w:val="center"/>
        </w:trPr>
        <w:tc>
          <w:tcPr>
            <w:tcW w:w="1458" w:type="dxa"/>
          </w:tcPr>
          <w:p w:rsidR="006B07CD" w:rsidRDefault="006B07CD" w:rsidP="006B07CD">
            <w:pPr>
              <w:jc w:val="center"/>
            </w:pPr>
            <w:r>
              <w:t>3</w:t>
            </w:r>
          </w:p>
        </w:tc>
        <w:tc>
          <w:tcPr>
            <w:tcW w:w="5801" w:type="dxa"/>
          </w:tcPr>
          <w:p w:rsidR="006B07CD" w:rsidRDefault="006B07CD" w:rsidP="006B07CD">
            <w:pPr>
              <w:jc w:val="center"/>
            </w:pPr>
            <w:r>
              <w:t>Forested Wetland</w:t>
            </w:r>
          </w:p>
        </w:tc>
      </w:tr>
      <w:tr w:rsidR="006B07CD" w:rsidTr="00A21690">
        <w:trPr>
          <w:jc w:val="center"/>
        </w:trPr>
        <w:tc>
          <w:tcPr>
            <w:tcW w:w="1458" w:type="dxa"/>
          </w:tcPr>
          <w:p w:rsidR="006B07CD" w:rsidRDefault="006B07CD" w:rsidP="006B07CD">
            <w:pPr>
              <w:jc w:val="center"/>
            </w:pPr>
            <w:r>
              <w:t>4</w:t>
            </w:r>
          </w:p>
        </w:tc>
        <w:tc>
          <w:tcPr>
            <w:tcW w:w="5801" w:type="dxa"/>
          </w:tcPr>
          <w:p w:rsidR="006B07CD" w:rsidRDefault="006B07CD" w:rsidP="006B07CD">
            <w:pPr>
              <w:jc w:val="center"/>
            </w:pPr>
            <w:r>
              <w:t>Fen</w:t>
            </w:r>
          </w:p>
        </w:tc>
      </w:tr>
      <w:tr w:rsidR="006B07CD" w:rsidTr="00A21690">
        <w:trPr>
          <w:jc w:val="center"/>
        </w:trPr>
        <w:tc>
          <w:tcPr>
            <w:tcW w:w="1458" w:type="dxa"/>
          </w:tcPr>
          <w:p w:rsidR="006B07CD" w:rsidRDefault="006B07CD" w:rsidP="006B07CD">
            <w:pPr>
              <w:jc w:val="center"/>
            </w:pPr>
            <w:r>
              <w:t>5</w:t>
            </w:r>
          </w:p>
        </w:tc>
        <w:tc>
          <w:tcPr>
            <w:tcW w:w="5801" w:type="dxa"/>
          </w:tcPr>
          <w:p w:rsidR="006B07CD" w:rsidRDefault="006B07CD" w:rsidP="006B07CD">
            <w:pPr>
              <w:jc w:val="center"/>
            </w:pPr>
            <w:r>
              <w:t>Other Veg</w:t>
            </w:r>
          </w:p>
        </w:tc>
      </w:tr>
      <w:tr w:rsidR="003F046F" w:rsidTr="00A21690">
        <w:trPr>
          <w:jc w:val="center"/>
        </w:trPr>
        <w:tc>
          <w:tcPr>
            <w:tcW w:w="1458" w:type="dxa"/>
          </w:tcPr>
          <w:p w:rsidR="003F046F" w:rsidRPr="003F046F" w:rsidRDefault="003F046F" w:rsidP="006B07CD">
            <w:pPr>
              <w:jc w:val="center"/>
            </w:pPr>
            <w:r>
              <w:t>6</w:t>
            </w:r>
          </w:p>
        </w:tc>
        <w:tc>
          <w:tcPr>
            <w:tcW w:w="5801" w:type="dxa"/>
          </w:tcPr>
          <w:p w:rsidR="003F046F" w:rsidRDefault="003F046F" w:rsidP="006B07CD">
            <w:pPr>
              <w:jc w:val="center"/>
            </w:pPr>
            <w:r>
              <w:t>Alpine (optional)</w:t>
            </w:r>
          </w:p>
        </w:tc>
      </w:tr>
      <w:tr w:rsidR="006621F9" w:rsidTr="00A21690">
        <w:trPr>
          <w:jc w:val="center"/>
        </w:trPr>
        <w:tc>
          <w:tcPr>
            <w:tcW w:w="1458" w:type="dxa"/>
          </w:tcPr>
          <w:p w:rsidR="006621F9" w:rsidRPr="006B07CD" w:rsidRDefault="006621F9" w:rsidP="006B07CD">
            <w:pPr>
              <w:jc w:val="center"/>
              <w:rPr>
                <w:i/>
              </w:rPr>
            </w:pPr>
            <w:r>
              <w:t>NoData</w:t>
            </w:r>
          </w:p>
        </w:tc>
        <w:tc>
          <w:tcPr>
            <w:tcW w:w="5801" w:type="dxa"/>
          </w:tcPr>
          <w:p w:rsidR="006621F9" w:rsidRDefault="006621F9" w:rsidP="006B07CD">
            <w:pPr>
              <w:jc w:val="center"/>
            </w:pPr>
            <w:r>
              <w:t>Areas of no data (cells outside project area)</w:t>
            </w:r>
          </w:p>
        </w:tc>
      </w:tr>
    </w:tbl>
    <w:p w:rsidR="00E25DC3" w:rsidRDefault="00E25DC3" w:rsidP="00E25DC3">
      <w:pPr>
        <w:spacing w:after="0" w:line="240" w:lineRule="auto"/>
        <w:rPr>
          <w:b/>
          <w:u w:val="single"/>
        </w:rPr>
      </w:pPr>
    </w:p>
    <w:p w:rsidR="0073257E" w:rsidRPr="0073257E" w:rsidRDefault="0073257E" w:rsidP="00E56798">
      <w:pPr>
        <w:spacing w:after="0" w:line="240" w:lineRule="auto"/>
        <w:rPr>
          <w:b/>
        </w:rPr>
      </w:pPr>
      <w:r w:rsidRPr="0073257E">
        <w:rPr>
          <w:b/>
          <w:u w:val="single"/>
        </w:rPr>
        <w:t>Abbreviations</w:t>
      </w:r>
    </w:p>
    <w:p w:rsidR="00E56798" w:rsidRDefault="00E56798" w:rsidP="00E56798">
      <w:pPr>
        <w:spacing w:after="0" w:line="240" w:lineRule="auto"/>
      </w:pPr>
      <w:r w:rsidRPr="0023444A">
        <w:rPr>
          <w:b/>
          <w:i/>
        </w:rPr>
        <w:t>NLCD</w:t>
      </w:r>
      <w:r w:rsidRPr="0023444A">
        <w:rPr>
          <w:b/>
        </w:rPr>
        <w:t xml:space="preserve"> </w:t>
      </w:r>
      <w:r>
        <w:t xml:space="preserve">= </w:t>
      </w:r>
      <w:r w:rsidR="0073257E">
        <w:t xml:space="preserve">USGS 2001 </w:t>
      </w:r>
      <w:r>
        <w:t>National Land Cover Dataset</w:t>
      </w:r>
      <w:r w:rsidR="0073257E">
        <w:t xml:space="preserve"> (Ver. 1.0)</w:t>
      </w:r>
      <w:r w:rsidR="005F425D">
        <w:t xml:space="preserve"> for Alaska</w:t>
      </w:r>
      <w:r w:rsidR="00E25DC3">
        <w:t xml:space="preserve">. </w:t>
      </w:r>
      <w:r w:rsidR="005F06D1">
        <w:t xml:space="preserve">A 30-meter resolution raster dataset based on 2001 Landsat satellite data. </w:t>
      </w:r>
      <w:proofErr w:type="gramStart"/>
      <w:r w:rsidR="00E25DC3">
        <w:t xml:space="preserve">Available from </w:t>
      </w:r>
      <w:hyperlink r:id="rId8" w:history="1">
        <w:r w:rsidR="00E25DC3" w:rsidRPr="00EB3360">
          <w:rPr>
            <w:rStyle w:val="Hyperlink"/>
          </w:rPr>
          <w:t>http://www.mrlc.gov/nlcd01_data.php</w:t>
        </w:r>
      </w:hyperlink>
      <w:r w:rsidR="00E25DC3">
        <w:t>.</w:t>
      </w:r>
      <w:proofErr w:type="gramEnd"/>
      <w:r w:rsidR="00E25DC3">
        <w:t xml:space="preserve"> </w:t>
      </w:r>
      <w:r w:rsidR="00207C5A">
        <w:t xml:space="preserve"> </w:t>
      </w:r>
    </w:p>
    <w:p w:rsidR="00E56798" w:rsidRDefault="00E56798" w:rsidP="00E56798">
      <w:pPr>
        <w:spacing w:after="0" w:line="240" w:lineRule="auto"/>
      </w:pPr>
      <w:r w:rsidRPr="0023444A">
        <w:rPr>
          <w:b/>
          <w:i/>
        </w:rPr>
        <w:t>NLCD</w:t>
      </w:r>
      <w:r w:rsidR="0078697A" w:rsidRPr="0023444A">
        <w:rPr>
          <w:b/>
          <w:i/>
        </w:rPr>
        <w:t>Canopy</w:t>
      </w:r>
      <w:r w:rsidR="0073257E">
        <w:t xml:space="preserve"> = NLCD Percent Tree Canopy (Ver. 1.0)</w:t>
      </w:r>
      <w:r w:rsidR="005F425D">
        <w:t xml:space="preserve"> for Alaska</w:t>
      </w:r>
      <w:r w:rsidR="00E25DC3">
        <w:t xml:space="preserve">, </w:t>
      </w:r>
      <w:hyperlink r:id="rId9" w:history="1">
        <w:r w:rsidR="00E25DC3" w:rsidRPr="00EB3360">
          <w:rPr>
            <w:rStyle w:val="Hyperlink"/>
          </w:rPr>
          <w:t>http://www.mrlc.gov/nlcd01_data.php</w:t>
        </w:r>
      </w:hyperlink>
      <w:r w:rsidR="00E25DC3">
        <w:t xml:space="preserve">. </w:t>
      </w:r>
    </w:p>
    <w:p w:rsidR="0073257E" w:rsidRDefault="00207C5A" w:rsidP="00E56798">
      <w:pPr>
        <w:spacing w:after="0" w:line="240" w:lineRule="auto"/>
      </w:pPr>
      <w:r w:rsidRPr="0023444A">
        <w:rPr>
          <w:b/>
          <w:i/>
        </w:rPr>
        <w:lastRenderedPageBreak/>
        <w:t>AKNPLCC_Saltwater</w:t>
      </w:r>
      <w:r w:rsidR="0073257E">
        <w:t xml:space="preserve">= </w:t>
      </w:r>
      <w:r>
        <w:t xml:space="preserve">A saltwater polygon representing MHW or estimated MHW </w:t>
      </w:r>
      <w:r w:rsidR="0073257E">
        <w:t xml:space="preserve">shoreline for </w:t>
      </w:r>
      <w:r>
        <w:t>SE</w:t>
      </w:r>
      <w:r w:rsidR="0073257E">
        <w:t>AK</w:t>
      </w:r>
      <w:r w:rsidR="00200AED">
        <w:t>, available</w:t>
      </w:r>
      <w:r w:rsidR="00E25DC3">
        <w:t xml:space="preserve"> from Frances Biles.</w:t>
      </w:r>
      <w:r w:rsidR="00055BE4">
        <w:t xml:space="preserve">  For SCAK </w:t>
      </w:r>
      <w:r>
        <w:t>the saltwater polygon was taken from the National Hydrography Dataset (NHD; NHDArea, FType=SeaOcean and NHDFlowline, FType=coastline)</w:t>
      </w:r>
      <w:r w:rsidR="0023444A">
        <w:t xml:space="preserve">. NHD datasets are available for download from </w:t>
      </w:r>
      <w:hyperlink r:id="rId10" w:history="1">
        <w:r w:rsidR="0023444A" w:rsidRPr="003C7CA3">
          <w:rPr>
            <w:rStyle w:val="Hyperlink"/>
          </w:rPr>
          <w:t>http://nhd.usgs.gov/data.html</w:t>
        </w:r>
      </w:hyperlink>
      <w:r w:rsidR="0023444A">
        <w:t xml:space="preserve">. </w:t>
      </w:r>
      <w:r w:rsidR="00055BE4">
        <w:t xml:space="preserve"> The SEAK and SCAK saltwater polygons were combined to achieve full coverage across the AK NPLCC.</w:t>
      </w:r>
    </w:p>
    <w:p w:rsidR="0073257E" w:rsidRDefault="006621F9" w:rsidP="00E56798">
      <w:pPr>
        <w:spacing w:after="0" w:line="240" w:lineRule="auto"/>
      </w:pPr>
      <w:r>
        <w:rPr>
          <w:b/>
          <w:i/>
        </w:rPr>
        <w:t>AKNPLCC</w:t>
      </w:r>
      <w:r w:rsidR="0023444A">
        <w:rPr>
          <w:b/>
          <w:i/>
        </w:rPr>
        <w:t>_2ndGrowth</w:t>
      </w:r>
      <w:r w:rsidR="0073257E">
        <w:t xml:space="preserve"> = </w:t>
      </w:r>
      <w:r w:rsidR="0075571C">
        <w:t>Timber harvest boundaries</w:t>
      </w:r>
      <w:r w:rsidR="0073257E">
        <w:t xml:space="preserve"> </w:t>
      </w:r>
      <w:r w:rsidR="0075571C">
        <w:t xml:space="preserve">for </w:t>
      </w:r>
      <w:r w:rsidR="0022481E">
        <w:t>the AK NPLCC east of 142.55°</w:t>
      </w:r>
      <w:r w:rsidR="0073257E">
        <w:t xml:space="preserve">. This data </w:t>
      </w:r>
      <w:r w:rsidR="0023444A">
        <w:t>comes</w:t>
      </w:r>
      <w:r w:rsidR="0073257E">
        <w:t xml:space="preserve"> from the </w:t>
      </w:r>
      <w:r w:rsidR="0075571C">
        <w:t xml:space="preserve">USFS, </w:t>
      </w:r>
      <w:r w:rsidR="0073257E">
        <w:t>TNF “Activities_Polygon” feature class.</w:t>
      </w:r>
      <w:r w:rsidR="0023444A">
        <w:t xml:space="preserve"> </w:t>
      </w:r>
      <w:r w:rsidR="00A67342">
        <w:t>Also included are harvest polygons on non-FS land from a 2007 GIS layer produced by The Nature Conservancy</w:t>
      </w:r>
      <w:r w:rsidR="0022481E">
        <w:t xml:space="preserve"> and timber harvest from the State of Alaska</w:t>
      </w:r>
      <w:r w:rsidR="00A67342">
        <w:t>.  The fi</w:t>
      </w:r>
      <w:r w:rsidR="00055BE4">
        <w:t>eld “year” represents the</w:t>
      </w:r>
      <w:r w:rsidR="00DE6A9C">
        <w:t xml:space="preserve"> year </w:t>
      </w:r>
      <w:r w:rsidR="0075571C">
        <w:t>a</w:t>
      </w:r>
      <w:r w:rsidR="00DE6A9C">
        <w:t xml:space="preserve"> stand was harvested.</w:t>
      </w:r>
    </w:p>
    <w:p w:rsidR="0073257E" w:rsidRDefault="005F425D" w:rsidP="00E56798">
      <w:pPr>
        <w:spacing w:after="0" w:line="240" w:lineRule="auto"/>
      </w:pPr>
      <w:r w:rsidRPr="0023444A">
        <w:rPr>
          <w:b/>
          <w:i/>
        </w:rPr>
        <w:t>TNFCover</w:t>
      </w:r>
      <w:r w:rsidR="0061372D" w:rsidRPr="0023444A">
        <w:rPr>
          <w:b/>
          <w:i/>
        </w:rPr>
        <w:t>Type</w:t>
      </w:r>
      <w:r w:rsidRPr="0023444A">
        <w:rPr>
          <w:b/>
        </w:rPr>
        <w:t xml:space="preserve"> </w:t>
      </w:r>
      <w:r>
        <w:t xml:space="preserve">= </w:t>
      </w:r>
      <w:r w:rsidR="0004339B">
        <w:t>F</w:t>
      </w:r>
      <w:r>
        <w:t xml:space="preserve">eature class of land cover types over </w:t>
      </w:r>
      <w:r w:rsidR="0004339B">
        <w:t>SEAK</w:t>
      </w:r>
      <w:r>
        <w:t xml:space="preserve">. This layer comes from the </w:t>
      </w:r>
      <w:r w:rsidR="0004339B">
        <w:t xml:space="preserve">USFS </w:t>
      </w:r>
      <w:r>
        <w:t>TNF CoverType feature class in the ExistingVeg geodatabase.</w:t>
      </w:r>
      <w:r w:rsidR="0004339B">
        <w:t xml:space="preserve"> This map covers </w:t>
      </w:r>
      <w:r w:rsidR="00200AED">
        <w:t>the majority</w:t>
      </w:r>
      <w:r w:rsidR="0004339B">
        <w:t xml:space="preserve"> of SEAK, the most notable exceptions being NW Lynn Canal, Glacier Bay National Park, and Metlakatla.</w:t>
      </w:r>
    </w:p>
    <w:p w:rsidR="005F425D" w:rsidRDefault="005F425D" w:rsidP="00E56798">
      <w:pPr>
        <w:spacing w:after="0" w:line="240" w:lineRule="auto"/>
      </w:pPr>
    </w:p>
    <w:p w:rsidR="00640496" w:rsidRPr="00640496" w:rsidRDefault="00640496" w:rsidP="00E56798">
      <w:pPr>
        <w:spacing w:after="0" w:line="240" w:lineRule="auto"/>
        <w:rPr>
          <w:b/>
          <w:u w:val="single"/>
        </w:rPr>
      </w:pPr>
      <w:r w:rsidRPr="00640496">
        <w:rPr>
          <w:b/>
          <w:u w:val="single"/>
        </w:rPr>
        <w:t>Processing Steps</w:t>
      </w:r>
    </w:p>
    <w:p w:rsidR="005F425D" w:rsidRDefault="005F425D" w:rsidP="005F425D">
      <w:pPr>
        <w:pStyle w:val="ListParagraph"/>
        <w:numPr>
          <w:ilvl w:val="0"/>
          <w:numId w:val="1"/>
        </w:numPr>
        <w:spacing w:after="0" w:line="240" w:lineRule="auto"/>
      </w:pPr>
      <w:r>
        <w:t>Clip extent of NLCD and NLCD</w:t>
      </w:r>
      <w:r w:rsidR="006206A2">
        <w:t>Canopy</w:t>
      </w:r>
      <w:r>
        <w:t xml:space="preserve"> to </w:t>
      </w:r>
      <w:r w:rsidR="00CB7A86">
        <w:t>the AK NPLCC extent</w:t>
      </w:r>
      <w:r>
        <w:t>. Specify</w:t>
      </w:r>
      <w:r w:rsidR="006206A2">
        <w:t xml:space="preserve"> the</w:t>
      </w:r>
      <w:r>
        <w:t xml:space="preserve"> original </w:t>
      </w:r>
      <w:r w:rsidR="006206A2">
        <w:t>rasters</w:t>
      </w:r>
      <w:r>
        <w:t xml:space="preserve"> as the snap raster so resampling</w:t>
      </w:r>
      <w:r w:rsidR="006206A2">
        <w:t xml:space="preserve"> of cell values</w:t>
      </w:r>
      <w:r>
        <w:t xml:space="preserve"> does not occur.</w:t>
      </w:r>
      <w:r w:rsidR="00200AED">
        <w:t xml:space="preserve">  </w:t>
      </w:r>
      <w:r w:rsidR="00200AED" w:rsidRPr="00200AED">
        <w:rPr>
          <w:b/>
          <w:color w:val="FF0000"/>
        </w:rPr>
        <w:t>[DONE]</w:t>
      </w:r>
    </w:p>
    <w:p w:rsidR="008E2E27" w:rsidRDefault="008E2E27" w:rsidP="008E2E27">
      <w:pPr>
        <w:spacing w:after="0" w:line="240" w:lineRule="auto"/>
      </w:pPr>
    </w:p>
    <w:p w:rsidR="005F425D" w:rsidRDefault="005F425D" w:rsidP="005F425D">
      <w:pPr>
        <w:pStyle w:val="ListParagraph"/>
        <w:numPr>
          <w:ilvl w:val="0"/>
          <w:numId w:val="1"/>
        </w:numPr>
        <w:spacing w:after="0" w:line="240" w:lineRule="auto"/>
      </w:pPr>
      <w:r>
        <w:t>Re-project all GIS data sets to Alaska Albers, NAD83</w:t>
      </w:r>
      <w:r w:rsidR="00177771">
        <w:t>(1986).</w:t>
      </w:r>
      <w:r w:rsidR="00200AED">
        <w:t xml:space="preserve"> </w:t>
      </w:r>
      <w:r w:rsidR="00200AED" w:rsidRPr="00200AED">
        <w:rPr>
          <w:b/>
          <w:color w:val="FF0000"/>
        </w:rPr>
        <w:t>[DONE]</w:t>
      </w:r>
    </w:p>
    <w:p w:rsidR="00177771" w:rsidRDefault="00177771" w:rsidP="00177771">
      <w:pPr>
        <w:pStyle w:val="ListParagraph"/>
        <w:numPr>
          <w:ilvl w:val="1"/>
          <w:numId w:val="1"/>
        </w:numPr>
        <w:spacing w:after="0" w:line="240" w:lineRule="auto"/>
      </w:pPr>
      <w:r>
        <w:t>The NLCD grids are in WGS84. In ArcMap, use the WGS_1984_To_NAD_1983_5 transformation method. Make sure resampling is set to Nearest Neighbor. Cell size = 30m.</w:t>
      </w:r>
    </w:p>
    <w:p w:rsidR="00177771" w:rsidRDefault="00177771" w:rsidP="00177771">
      <w:pPr>
        <w:spacing w:after="0" w:line="240" w:lineRule="auto"/>
      </w:pPr>
    </w:p>
    <w:p w:rsidR="00177771" w:rsidRDefault="00177771" w:rsidP="00345CA7">
      <w:pPr>
        <w:spacing w:after="0" w:line="240" w:lineRule="auto"/>
        <w:ind w:left="270" w:hanging="270"/>
      </w:pPr>
      <w:r>
        <w:t>**In all subsequent raster processing</w:t>
      </w:r>
      <w:r w:rsidR="00345CA7">
        <w:t>,</w:t>
      </w:r>
      <w:r>
        <w:t xml:space="preserve"> be sure to specify these re-projected grids as the snap raster so the grid cells remain in alignment and do not go through additional resampling. </w:t>
      </w:r>
    </w:p>
    <w:p w:rsidR="00177771" w:rsidRDefault="00177771" w:rsidP="00177771">
      <w:pPr>
        <w:spacing w:after="0" w:line="240" w:lineRule="auto"/>
      </w:pPr>
    </w:p>
    <w:p w:rsidR="00177771" w:rsidRDefault="00177771" w:rsidP="00177771">
      <w:pPr>
        <w:pStyle w:val="ListParagraph"/>
        <w:numPr>
          <w:ilvl w:val="0"/>
          <w:numId w:val="1"/>
        </w:numPr>
        <w:spacing w:after="0" w:line="240" w:lineRule="auto"/>
      </w:pPr>
      <w:r>
        <w:t xml:space="preserve">Reclassify </w:t>
      </w:r>
      <w:r w:rsidRPr="00A17666">
        <w:rPr>
          <w:b/>
          <w:i/>
        </w:rPr>
        <w:t>NLCD</w:t>
      </w:r>
      <w:r w:rsidR="0078697A" w:rsidRPr="00A17666">
        <w:rPr>
          <w:b/>
          <w:i/>
        </w:rPr>
        <w:t>Canopy</w:t>
      </w:r>
      <w:r>
        <w:t xml:space="preserve"> raster values:</w:t>
      </w:r>
      <w:r>
        <w:br/>
      </w:r>
    </w:p>
    <w:tbl>
      <w:tblPr>
        <w:tblStyle w:val="TableGrid"/>
        <w:tblW w:w="0" w:type="auto"/>
        <w:jc w:val="center"/>
        <w:tblInd w:w="360" w:type="dxa"/>
        <w:tblLook w:val="04A0" w:firstRow="1" w:lastRow="0" w:firstColumn="1" w:lastColumn="0" w:noHBand="0" w:noVBand="1"/>
      </w:tblPr>
      <w:tblGrid>
        <w:gridCol w:w="1908"/>
        <w:gridCol w:w="1620"/>
      </w:tblGrid>
      <w:tr w:rsidR="00177771" w:rsidTr="00345CA7">
        <w:trPr>
          <w:jc w:val="center"/>
        </w:trPr>
        <w:tc>
          <w:tcPr>
            <w:tcW w:w="1908" w:type="dxa"/>
          </w:tcPr>
          <w:p w:rsidR="00177771" w:rsidRPr="00345CA7" w:rsidRDefault="00177771" w:rsidP="00345CA7">
            <w:pPr>
              <w:jc w:val="center"/>
              <w:rPr>
                <w:b/>
              </w:rPr>
            </w:pPr>
            <w:r w:rsidRPr="00345CA7">
              <w:rPr>
                <w:b/>
              </w:rPr>
              <w:t>OLD VALUE</w:t>
            </w:r>
          </w:p>
        </w:tc>
        <w:tc>
          <w:tcPr>
            <w:tcW w:w="1620" w:type="dxa"/>
          </w:tcPr>
          <w:p w:rsidR="00177771" w:rsidRPr="00345CA7" w:rsidRDefault="00177771" w:rsidP="00345CA7">
            <w:pPr>
              <w:jc w:val="center"/>
              <w:rPr>
                <w:b/>
              </w:rPr>
            </w:pPr>
            <w:r w:rsidRPr="00345CA7">
              <w:rPr>
                <w:b/>
              </w:rPr>
              <w:t>NEW VALUE</w:t>
            </w:r>
          </w:p>
        </w:tc>
      </w:tr>
      <w:tr w:rsidR="00177771" w:rsidTr="00345CA7">
        <w:trPr>
          <w:jc w:val="center"/>
        </w:trPr>
        <w:tc>
          <w:tcPr>
            <w:tcW w:w="1908" w:type="dxa"/>
          </w:tcPr>
          <w:p w:rsidR="00177771" w:rsidRDefault="00177771" w:rsidP="00345CA7">
            <w:pPr>
              <w:jc w:val="center"/>
            </w:pPr>
            <w:r>
              <w:t>0 – 20</w:t>
            </w:r>
          </w:p>
        </w:tc>
        <w:tc>
          <w:tcPr>
            <w:tcW w:w="1620" w:type="dxa"/>
          </w:tcPr>
          <w:p w:rsidR="00177771" w:rsidRDefault="00177771" w:rsidP="00345CA7">
            <w:pPr>
              <w:jc w:val="center"/>
            </w:pPr>
            <w:r>
              <w:t>1</w:t>
            </w:r>
          </w:p>
        </w:tc>
      </w:tr>
      <w:tr w:rsidR="00177771" w:rsidTr="00345CA7">
        <w:trPr>
          <w:jc w:val="center"/>
        </w:trPr>
        <w:tc>
          <w:tcPr>
            <w:tcW w:w="1908" w:type="dxa"/>
          </w:tcPr>
          <w:p w:rsidR="00177771" w:rsidRDefault="00177771" w:rsidP="00345CA7">
            <w:pPr>
              <w:jc w:val="center"/>
            </w:pPr>
            <w:r>
              <w:t>20 – 100</w:t>
            </w:r>
          </w:p>
        </w:tc>
        <w:tc>
          <w:tcPr>
            <w:tcW w:w="1620" w:type="dxa"/>
          </w:tcPr>
          <w:p w:rsidR="00177771" w:rsidRDefault="00177771" w:rsidP="00345CA7">
            <w:pPr>
              <w:jc w:val="center"/>
            </w:pPr>
            <w:r>
              <w:t>2</w:t>
            </w:r>
          </w:p>
        </w:tc>
      </w:tr>
      <w:tr w:rsidR="00177771" w:rsidTr="00345CA7">
        <w:trPr>
          <w:jc w:val="center"/>
        </w:trPr>
        <w:tc>
          <w:tcPr>
            <w:tcW w:w="1908" w:type="dxa"/>
          </w:tcPr>
          <w:p w:rsidR="00177771" w:rsidRDefault="00177771" w:rsidP="00345CA7">
            <w:pPr>
              <w:jc w:val="center"/>
            </w:pPr>
            <w:r>
              <w:t>NoData</w:t>
            </w:r>
          </w:p>
        </w:tc>
        <w:tc>
          <w:tcPr>
            <w:tcW w:w="1620" w:type="dxa"/>
          </w:tcPr>
          <w:p w:rsidR="00177771" w:rsidRDefault="00177771" w:rsidP="00345CA7">
            <w:pPr>
              <w:jc w:val="center"/>
            </w:pPr>
            <w:r>
              <w:t>NoData</w:t>
            </w:r>
          </w:p>
        </w:tc>
      </w:tr>
    </w:tbl>
    <w:p w:rsidR="00177771" w:rsidRDefault="00177771" w:rsidP="00345CA7">
      <w:pPr>
        <w:spacing w:after="0" w:line="240" w:lineRule="auto"/>
      </w:pPr>
    </w:p>
    <w:p w:rsidR="006E79D8" w:rsidRDefault="006E79D8" w:rsidP="006E79D8">
      <w:pPr>
        <w:pStyle w:val="ListParagraph"/>
        <w:numPr>
          <w:ilvl w:val="0"/>
          <w:numId w:val="1"/>
        </w:numPr>
        <w:spacing w:after="0" w:line="240" w:lineRule="auto"/>
      </w:pPr>
      <w:r>
        <w:t xml:space="preserve">Reclassify </w:t>
      </w:r>
      <w:r w:rsidRPr="00A17666">
        <w:rPr>
          <w:b/>
          <w:i/>
        </w:rPr>
        <w:t>NLCD</w:t>
      </w:r>
      <w:r>
        <w:t xml:space="preserve"> raster:</w:t>
      </w:r>
      <w:r>
        <w:br/>
      </w:r>
    </w:p>
    <w:tbl>
      <w:tblPr>
        <w:tblStyle w:val="TableGrid"/>
        <w:tblW w:w="0" w:type="auto"/>
        <w:jc w:val="center"/>
        <w:tblInd w:w="360" w:type="dxa"/>
        <w:tblLook w:val="04A0" w:firstRow="1" w:lastRow="0" w:firstColumn="1" w:lastColumn="0" w:noHBand="0" w:noVBand="1"/>
      </w:tblPr>
      <w:tblGrid>
        <w:gridCol w:w="2808"/>
        <w:gridCol w:w="2070"/>
        <w:gridCol w:w="2880"/>
      </w:tblGrid>
      <w:tr w:rsidR="006E79D8" w:rsidRPr="006E79D8" w:rsidTr="00FD3FF8">
        <w:trPr>
          <w:jc w:val="center"/>
        </w:trPr>
        <w:tc>
          <w:tcPr>
            <w:tcW w:w="2808" w:type="dxa"/>
          </w:tcPr>
          <w:p w:rsidR="006E79D8" w:rsidRPr="006E79D8" w:rsidRDefault="006E79D8" w:rsidP="006E79D8">
            <w:pPr>
              <w:jc w:val="center"/>
              <w:rPr>
                <w:b/>
              </w:rPr>
            </w:pPr>
            <w:r w:rsidRPr="006E79D8">
              <w:rPr>
                <w:b/>
              </w:rPr>
              <w:t>OLD VALUE</w:t>
            </w:r>
          </w:p>
        </w:tc>
        <w:tc>
          <w:tcPr>
            <w:tcW w:w="2070" w:type="dxa"/>
          </w:tcPr>
          <w:p w:rsidR="006E79D8" w:rsidRPr="006E79D8" w:rsidRDefault="006E79D8" w:rsidP="006E79D8">
            <w:pPr>
              <w:jc w:val="center"/>
              <w:rPr>
                <w:b/>
              </w:rPr>
            </w:pPr>
            <w:r w:rsidRPr="006E79D8">
              <w:rPr>
                <w:b/>
              </w:rPr>
              <w:t>NEW VALUE</w:t>
            </w:r>
          </w:p>
        </w:tc>
        <w:tc>
          <w:tcPr>
            <w:tcW w:w="2880" w:type="dxa"/>
          </w:tcPr>
          <w:p w:rsidR="006E79D8" w:rsidRPr="006E79D8" w:rsidRDefault="006E79D8" w:rsidP="006E79D8">
            <w:pPr>
              <w:jc w:val="center"/>
              <w:rPr>
                <w:b/>
              </w:rPr>
            </w:pPr>
            <w:r w:rsidRPr="006E79D8">
              <w:rPr>
                <w:b/>
              </w:rPr>
              <w:t>Description</w:t>
            </w:r>
          </w:p>
        </w:tc>
      </w:tr>
      <w:tr w:rsidR="006E79D8" w:rsidTr="00FD3FF8">
        <w:trPr>
          <w:jc w:val="center"/>
        </w:trPr>
        <w:tc>
          <w:tcPr>
            <w:tcW w:w="2808" w:type="dxa"/>
          </w:tcPr>
          <w:p w:rsidR="006E79D8" w:rsidRDefault="006E79D8" w:rsidP="006E79D8">
            <w:pPr>
              <w:jc w:val="center"/>
            </w:pPr>
            <w:r>
              <w:t xml:space="preserve">0, </w:t>
            </w:r>
            <w:r w:rsidR="00E96ED2">
              <w:t xml:space="preserve">11, </w:t>
            </w:r>
            <w:r>
              <w:t>12, 21, 22, 23, 24, 31</w:t>
            </w:r>
          </w:p>
        </w:tc>
        <w:tc>
          <w:tcPr>
            <w:tcW w:w="2070" w:type="dxa"/>
          </w:tcPr>
          <w:p w:rsidR="006E79D8" w:rsidRDefault="006E79D8" w:rsidP="006E79D8">
            <w:pPr>
              <w:jc w:val="center"/>
            </w:pPr>
            <w:r>
              <w:t>1</w:t>
            </w:r>
          </w:p>
        </w:tc>
        <w:tc>
          <w:tcPr>
            <w:tcW w:w="2880" w:type="dxa"/>
          </w:tcPr>
          <w:p w:rsidR="006E79D8" w:rsidRDefault="006E79D8" w:rsidP="009354C8">
            <w:pPr>
              <w:jc w:val="center"/>
            </w:pPr>
            <w:r>
              <w:t xml:space="preserve">No </w:t>
            </w:r>
            <w:r w:rsidR="009354C8">
              <w:t>V</w:t>
            </w:r>
            <w:r>
              <w:t>eg (0 carbon)</w:t>
            </w:r>
          </w:p>
        </w:tc>
      </w:tr>
      <w:tr w:rsidR="006E79D8" w:rsidTr="00FD3FF8">
        <w:trPr>
          <w:jc w:val="center"/>
        </w:trPr>
        <w:tc>
          <w:tcPr>
            <w:tcW w:w="2808" w:type="dxa"/>
          </w:tcPr>
          <w:p w:rsidR="006E79D8" w:rsidRDefault="006E79D8" w:rsidP="006E79D8">
            <w:pPr>
              <w:jc w:val="center"/>
            </w:pPr>
            <w:r>
              <w:t>42</w:t>
            </w:r>
          </w:p>
        </w:tc>
        <w:tc>
          <w:tcPr>
            <w:tcW w:w="2070" w:type="dxa"/>
          </w:tcPr>
          <w:p w:rsidR="006E79D8" w:rsidRDefault="006E79D8" w:rsidP="006E79D8">
            <w:pPr>
              <w:jc w:val="center"/>
            </w:pPr>
            <w:r>
              <w:t>2</w:t>
            </w:r>
          </w:p>
        </w:tc>
        <w:tc>
          <w:tcPr>
            <w:tcW w:w="2880" w:type="dxa"/>
          </w:tcPr>
          <w:p w:rsidR="006E79D8" w:rsidRDefault="006E79D8" w:rsidP="006E79D8">
            <w:pPr>
              <w:jc w:val="center"/>
            </w:pPr>
            <w:r>
              <w:t>Upland</w:t>
            </w:r>
            <w:r w:rsidR="009354C8">
              <w:t xml:space="preserve"> or Fen</w:t>
            </w:r>
          </w:p>
        </w:tc>
      </w:tr>
      <w:tr w:rsidR="006E79D8" w:rsidTr="00FD3FF8">
        <w:trPr>
          <w:jc w:val="center"/>
        </w:trPr>
        <w:tc>
          <w:tcPr>
            <w:tcW w:w="2808" w:type="dxa"/>
          </w:tcPr>
          <w:p w:rsidR="006E79D8" w:rsidRDefault="006E79D8" w:rsidP="006E79D8">
            <w:pPr>
              <w:jc w:val="center"/>
            </w:pPr>
            <w:r>
              <w:t xml:space="preserve">41, 43, </w:t>
            </w:r>
            <w:r w:rsidR="00E96ED2">
              <w:t xml:space="preserve">51, </w:t>
            </w:r>
            <w:r>
              <w:t xml:space="preserve">52, 71, </w:t>
            </w:r>
            <w:r w:rsidR="00E96ED2">
              <w:t xml:space="preserve">72, </w:t>
            </w:r>
            <w:r>
              <w:t>90, 95</w:t>
            </w:r>
          </w:p>
        </w:tc>
        <w:tc>
          <w:tcPr>
            <w:tcW w:w="2070" w:type="dxa"/>
          </w:tcPr>
          <w:p w:rsidR="006E79D8" w:rsidRDefault="006E79D8" w:rsidP="006E79D8">
            <w:pPr>
              <w:jc w:val="center"/>
            </w:pPr>
            <w:r>
              <w:t>3</w:t>
            </w:r>
          </w:p>
        </w:tc>
        <w:tc>
          <w:tcPr>
            <w:tcW w:w="2880" w:type="dxa"/>
          </w:tcPr>
          <w:p w:rsidR="006E79D8" w:rsidRDefault="006E79D8" w:rsidP="009354C8">
            <w:pPr>
              <w:jc w:val="center"/>
            </w:pPr>
            <w:r>
              <w:t xml:space="preserve">Forested Wetland </w:t>
            </w:r>
            <w:r w:rsidR="009354C8">
              <w:t>or</w:t>
            </w:r>
            <w:r>
              <w:t xml:space="preserve"> Fen</w:t>
            </w:r>
          </w:p>
        </w:tc>
      </w:tr>
      <w:tr w:rsidR="00143E73" w:rsidTr="00FD3FF8">
        <w:trPr>
          <w:jc w:val="center"/>
        </w:trPr>
        <w:tc>
          <w:tcPr>
            <w:tcW w:w="2808" w:type="dxa"/>
          </w:tcPr>
          <w:p w:rsidR="00143E73" w:rsidRDefault="00143E73" w:rsidP="006E79D8">
            <w:pPr>
              <w:jc w:val="center"/>
            </w:pPr>
            <w:r>
              <w:t>81,82</w:t>
            </w:r>
          </w:p>
        </w:tc>
        <w:tc>
          <w:tcPr>
            <w:tcW w:w="2070" w:type="dxa"/>
          </w:tcPr>
          <w:p w:rsidR="00143E73" w:rsidRDefault="00143E73" w:rsidP="006E79D8">
            <w:pPr>
              <w:jc w:val="center"/>
            </w:pPr>
            <w:r>
              <w:t>5</w:t>
            </w:r>
          </w:p>
        </w:tc>
        <w:tc>
          <w:tcPr>
            <w:tcW w:w="2880" w:type="dxa"/>
          </w:tcPr>
          <w:p w:rsidR="00143E73" w:rsidRDefault="00143E73" w:rsidP="00143E73">
            <w:pPr>
              <w:jc w:val="center"/>
            </w:pPr>
            <w:r>
              <w:t>Other Veg</w:t>
            </w:r>
          </w:p>
        </w:tc>
      </w:tr>
      <w:tr w:rsidR="006E79D8" w:rsidTr="00FD3FF8">
        <w:trPr>
          <w:jc w:val="center"/>
        </w:trPr>
        <w:tc>
          <w:tcPr>
            <w:tcW w:w="2808" w:type="dxa"/>
          </w:tcPr>
          <w:p w:rsidR="006E79D8" w:rsidRDefault="006E79D8" w:rsidP="006E79D8">
            <w:pPr>
              <w:jc w:val="center"/>
            </w:pPr>
            <w:r>
              <w:t>NoData</w:t>
            </w:r>
          </w:p>
        </w:tc>
        <w:tc>
          <w:tcPr>
            <w:tcW w:w="2070" w:type="dxa"/>
          </w:tcPr>
          <w:p w:rsidR="006E79D8" w:rsidRDefault="006E79D8" w:rsidP="006E79D8">
            <w:pPr>
              <w:jc w:val="center"/>
            </w:pPr>
            <w:r>
              <w:t>NoData</w:t>
            </w:r>
          </w:p>
        </w:tc>
        <w:tc>
          <w:tcPr>
            <w:tcW w:w="2880" w:type="dxa"/>
          </w:tcPr>
          <w:p w:rsidR="006E79D8" w:rsidRDefault="006E79D8" w:rsidP="006E79D8">
            <w:pPr>
              <w:jc w:val="center"/>
            </w:pPr>
          </w:p>
        </w:tc>
      </w:tr>
    </w:tbl>
    <w:p w:rsidR="006E79D8" w:rsidRDefault="006E79D8" w:rsidP="006E79D8">
      <w:pPr>
        <w:spacing w:after="0" w:line="240" w:lineRule="auto"/>
      </w:pPr>
    </w:p>
    <w:p w:rsidR="006E79D8" w:rsidRDefault="006E79D8" w:rsidP="006E79D8">
      <w:pPr>
        <w:pStyle w:val="ListParagraph"/>
        <w:numPr>
          <w:ilvl w:val="0"/>
          <w:numId w:val="1"/>
        </w:numPr>
        <w:spacing w:after="0" w:line="240" w:lineRule="auto"/>
      </w:pPr>
      <w:r>
        <w:t>Combine the 2 recl</w:t>
      </w:r>
      <w:r w:rsidR="001B7D20">
        <w:t>assed rasters from S</w:t>
      </w:r>
      <w:r w:rsidR="00A17666">
        <w:t>teps 3 &amp; 4 (ArcMap “combine”)</w:t>
      </w:r>
      <w:r>
        <w:t xml:space="preserve">. The operation creates a new raster with an attribute table containing a value for each unique combination of reclassed NLCD land cover type and </w:t>
      </w:r>
      <w:r w:rsidR="00A17666">
        <w:t xml:space="preserve">NLCD </w:t>
      </w:r>
      <w:r w:rsidR="001148A5">
        <w:t xml:space="preserve">percent </w:t>
      </w:r>
      <w:r>
        <w:t>canopy cover:</w:t>
      </w:r>
      <w:r>
        <w:br/>
      </w:r>
    </w:p>
    <w:tbl>
      <w:tblPr>
        <w:tblStyle w:val="TableGrid"/>
        <w:tblW w:w="0" w:type="auto"/>
        <w:jc w:val="center"/>
        <w:tblInd w:w="360" w:type="dxa"/>
        <w:tblLook w:val="04A0" w:firstRow="1" w:lastRow="0" w:firstColumn="1" w:lastColumn="0" w:noHBand="0" w:noVBand="1"/>
      </w:tblPr>
      <w:tblGrid>
        <w:gridCol w:w="1040"/>
        <w:gridCol w:w="2070"/>
        <w:gridCol w:w="2160"/>
        <w:gridCol w:w="2061"/>
      </w:tblGrid>
      <w:tr w:rsidR="006E79D8" w:rsidRPr="00755542" w:rsidTr="001148A5">
        <w:trPr>
          <w:jc w:val="center"/>
        </w:trPr>
        <w:tc>
          <w:tcPr>
            <w:tcW w:w="1040" w:type="dxa"/>
          </w:tcPr>
          <w:p w:rsidR="006E79D8" w:rsidRPr="00755542" w:rsidRDefault="003D2E97" w:rsidP="003D2E97">
            <w:pPr>
              <w:jc w:val="center"/>
              <w:rPr>
                <w:b/>
              </w:rPr>
            </w:pPr>
            <w:r>
              <w:rPr>
                <w:b/>
              </w:rPr>
              <w:t xml:space="preserve">NEW </w:t>
            </w:r>
            <w:r w:rsidR="006E79D8" w:rsidRPr="00755542">
              <w:rPr>
                <w:b/>
              </w:rPr>
              <w:t>V</w:t>
            </w:r>
            <w:r>
              <w:rPr>
                <w:b/>
              </w:rPr>
              <w:t>ALUE</w:t>
            </w:r>
          </w:p>
        </w:tc>
        <w:tc>
          <w:tcPr>
            <w:tcW w:w="2070" w:type="dxa"/>
          </w:tcPr>
          <w:p w:rsidR="006E79D8" w:rsidRPr="00755542" w:rsidRDefault="006E79D8" w:rsidP="00755542">
            <w:pPr>
              <w:jc w:val="center"/>
              <w:rPr>
                <w:b/>
              </w:rPr>
            </w:pPr>
            <w:r w:rsidRPr="00755542">
              <w:rPr>
                <w:b/>
              </w:rPr>
              <w:t xml:space="preserve">InRaster1 </w:t>
            </w:r>
            <w:r w:rsidRPr="004419BD">
              <w:rPr>
                <w:i/>
              </w:rPr>
              <w:t>(reclassed land cover)</w:t>
            </w:r>
          </w:p>
        </w:tc>
        <w:tc>
          <w:tcPr>
            <w:tcW w:w="2160" w:type="dxa"/>
          </w:tcPr>
          <w:p w:rsidR="006E79D8" w:rsidRPr="00755542" w:rsidRDefault="006E79D8" w:rsidP="00755542">
            <w:pPr>
              <w:jc w:val="center"/>
              <w:rPr>
                <w:b/>
              </w:rPr>
            </w:pPr>
            <w:r w:rsidRPr="00755542">
              <w:rPr>
                <w:b/>
              </w:rPr>
              <w:t>InRaster2</w:t>
            </w:r>
            <w:r w:rsidR="004419BD">
              <w:rPr>
                <w:b/>
              </w:rPr>
              <w:t xml:space="preserve"> </w:t>
            </w:r>
            <w:r w:rsidRPr="004419BD">
              <w:rPr>
                <w:i/>
              </w:rPr>
              <w:t>(reclassed %canopy)</w:t>
            </w:r>
          </w:p>
        </w:tc>
        <w:tc>
          <w:tcPr>
            <w:tcW w:w="2061" w:type="dxa"/>
          </w:tcPr>
          <w:p w:rsidR="006E79D8" w:rsidRPr="00755542" w:rsidRDefault="006E79D8" w:rsidP="00755542">
            <w:pPr>
              <w:jc w:val="center"/>
              <w:rPr>
                <w:b/>
              </w:rPr>
            </w:pPr>
            <w:r w:rsidRPr="00755542">
              <w:rPr>
                <w:b/>
              </w:rPr>
              <w:t>Description</w:t>
            </w:r>
          </w:p>
        </w:tc>
      </w:tr>
      <w:tr w:rsidR="006E79D8" w:rsidTr="001148A5">
        <w:trPr>
          <w:jc w:val="center"/>
        </w:trPr>
        <w:tc>
          <w:tcPr>
            <w:tcW w:w="1040" w:type="dxa"/>
          </w:tcPr>
          <w:p w:rsidR="006E79D8" w:rsidRDefault="006E79D8" w:rsidP="001148A5">
            <w:pPr>
              <w:jc w:val="center"/>
            </w:pPr>
            <w:r>
              <w:t>1</w:t>
            </w:r>
          </w:p>
        </w:tc>
        <w:tc>
          <w:tcPr>
            <w:tcW w:w="2070" w:type="dxa"/>
          </w:tcPr>
          <w:p w:rsidR="006E79D8" w:rsidRDefault="00755542" w:rsidP="001148A5">
            <w:pPr>
              <w:jc w:val="center"/>
            </w:pPr>
            <w:r>
              <w:t>1</w:t>
            </w:r>
          </w:p>
        </w:tc>
        <w:tc>
          <w:tcPr>
            <w:tcW w:w="2160" w:type="dxa"/>
          </w:tcPr>
          <w:p w:rsidR="006E79D8" w:rsidRDefault="00755542" w:rsidP="001148A5">
            <w:pPr>
              <w:jc w:val="center"/>
            </w:pPr>
            <w:r>
              <w:t>1</w:t>
            </w:r>
          </w:p>
        </w:tc>
        <w:tc>
          <w:tcPr>
            <w:tcW w:w="2061" w:type="dxa"/>
          </w:tcPr>
          <w:p w:rsidR="006E79D8" w:rsidRDefault="00755542" w:rsidP="0010196C">
            <w:pPr>
              <w:jc w:val="center"/>
            </w:pPr>
            <w:r>
              <w:t xml:space="preserve">No </w:t>
            </w:r>
            <w:r w:rsidR="0010196C">
              <w:t>V</w:t>
            </w:r>
            <w:r>
              <w:t>eg</w:t>
            </w:r>
          </w:p>
        </w:tc>
      </w:tr>
      <w:tr w:rsidR="006E79D8" w:rsidTr="001148A5">
        <w:trPr>
          <w:jc w:val="center"/>
        </w:trPr>
        <w:tc>
          <w:tcPr>
            <w:tcW w:w="1040" w:type="dxa"/>
          </w:tcPr>
          <w:p w:rsidR="006E79D8" w:rsidRDefault="006E79D8" w:rsidP="001148A5">
            <w:pPr>
              <w:jc w:val="center"/>
            </w:pPr>
            <w:r>
              <w:lastRenderedPageBreak/>
              <w:t>2</w:t>
            </w:r>
          </w:p>
        </w:tc>
        <w:tc>
          <w:tcPr>
            <w:tcW w:w="2070" w:type="dxa"/>
          </w:tcPr>
          <w:p w:rsidR="006E79D8" w:rsidRDefault="00755542" w:rsidP="001148A5">
            <w:pPr>
              <w:jc w:val="center"/>
            </w:pPr>
            <w:r>
              <w:t>1</w:t>
            </w:r>
          </w:p>
        </w:tc>
        <w:tc>
          <w:tcPr>
            <w:tcW w:w="2160" w:type="dxa"/>
          </w:tcPr>
          <w:p w:rsidR="006E79D8" w:rsidRDefault="00755542" w:rsidP="001148A5">
            <w:pPr>
              <w:jc w:val="center"/>
            </w:pPr>
            <w:r>
              <w:t>2</w:t>
            </w:r>
          </w:p>
        </w:tc>
        <w:tc>
          <w:tcPr>
            <w:tcW w:w="2061" w:type="dxa"/>
          </w:tcPr>
          <w:p w:rsidR="006E79D8" w:rsidRDefault="00755542" w:rsidP="0010196C">
            <w:pPr>
              <w:jc w:val="center"/>
            </w:pPr>
            <w:r>
              <w:t xml:space="preserve">No </w:t>
            </w:r>
            <w:r w:rsidR="0010196C">
              <w:t>V</w:t>
            </w:r>
            <w:r>
              <w:t>eg</w:t>
            </w:r>
          </w:p>
        </w:tc>
      </w:tr>
      <w:tr w:rsidR="006E79D8" w:rsidTr="001148A5">
        <w:trPr>
          <w:jc w:val="center"/>
        </w:trPr>
        <w:tc>
          <w:tcPr>
            <w:tcW w:w="1040" w:type="dxa"/>
          </w:tcPr>
          <w:p w:rsidR="006E79D8" w:rsidRDefault="006E79D8" w:rsidP="001148A5">
            <w:pPr>
              <w:jc w:val="center"/>
            </w:pPr>
            <w:r>
              <w:t>3</w:t>
            </w:r>
          </w:p>
        </w:tc>
        <w:tc>
          <w:tcPr>
            <w:tcW w:w="2070" w:type="dxa"/>
          </w:tcPr>
          <w:p w:rsidR="006E79D8" w:rsidRDefault="00755542" w:rsidP="001148A5">
            <w:pPr>
              <w:jc w:val="center"/>
            </w:pPr>
            <w:r>
              <w:t>2</w:t>
            </w:r>
          </w:p>
        </w:tc>
        <w:tc>
          <w:tcPr>
            <w:tcW w:w="2160" w:type="dxa"/>
          </w:tcPr>
          <w:p w:rsidR="006E79D8" w:rsidRPr="004419BD" w:rsidRDefault="00755542" w:rsidP="001148A5">
            <w:pPr>
              <w:jc w:val="center"/>
            </w:pPr>
            <w:r w:rsidRPr="004419BD">
              <w:t>1</w:t>
            </w:r>
          </w:p>
        </w:tc>
        <w:tc>
          <w:tcPr>
            <w:tcW w:w="2061" w:type="dxa"/>
          </w:tcPr>
          <w:p w:rsidR="006E79D8" w:rsidRPr="004419BD" w:rsidRDefault="004419BD" w:rsidP="0010196C">
            <w:pPr>
              <w:jc w:val="center"/>
            </w:pPr>
            <w:r w:rsidRPr="004419BD">
              <w:t>Fen</w:t>
            </w:r>
          </w:p>
        </w:tc>
      </w:tr>
      <w:tr w:rsidR="006E79D8" w:rsidTr="001148A5">
        <w:trPr>
          <w:jc w:val="center"/>
        </w:trPr>
        <w:tc>
          <w:tcPr>
            <w:tcW w:w="1040" w:type="dxa"/>
          </w:tcPr>
          <w:p w:rsidR="006E79D8" w:rsidRDefault="006E79D8" w:rsidP="001148A5">
            <w:pPr>
              <w:jc w:val="center"/>
            </w:pPr>
            <w:r>
              <w:t>4</w:t>
            </w:r>
          </w:p>
        </w:tc>
        <w:tc>
          <w:tcPr>
            <w:tcW w:w="2070" w:type="dxa"/>
          </w:tcPr>
          <w:p w:rsidR="006E79D8" w:rsidRDefault="00755542" w:rsidP="001148A5">
            <w:pPr>
              <w:jc w:val="center"/>
            </w:pPr>
            <w:r>
              <w:t>2</w:t>
            </w:r>
          </w:p>
        </w:tc>
        <w:tc>
          <w:tcPr>
            <w:tcW w:w="2160" w:type="dxa"/>
          </w:tcPr>
          <w:p w:rsidR="006E79D8" w:rsidRDefault="00755542" w:rsidP="001148A5">
            <w:pPr>
              <w:jc w:val="center"/>
            </w:pPr>
            <w:r>
              <w:t>2</w:t>
            </w:r>
          </w:p>
        </w:tc>
        <w:tc>
          <w:tcPr>
            <w:tcW w:w="2061" w:type="dxa"/>
          </w:tcPr>
          <w:p w:rsidR="006E79D8" w:rsidRDefault="00755542" w:rsidP="0010196C">
            <w:pPr>
              <w:jc w:val="center"/>
            </w:pPr>
            <w:r>
              <w:t>Upland</w:t>
            </w:r>
          </w:p>
        </w:tc>
      </w:tr>
      <w:tr w:rsidR="006E79D8" w:rsidTr="001148A5">
        <w:trPr>
          <w:jc w:val="center"/>
        </w:trPr>
        <w:tc>
          <w:tcPr>
            <w:tcW w:w="1040" w:type="dxa"/>
          </w:tcPr>
          <w:p w:rsidR="006E79D8" w:rsidRDefault="006E79D8" w:rsidP="001148A5">
            <w:pPr>
              <w:jc w:val="center"/>
            </w:pPr>
            <w:r>
              <w:t>5</w:t>
            </w:r>
          </w:p>
        </w:tc>
        <w:tc>
          <w:tcPr>
            <w:tcW w:w="2070" w:type="dxa"/>
          </w:tcPr>
          <w:p w:rsidR="006E79D8" w:rsidRDefault="00755542" w:rsidP="001148A5">
            <w:pPr>
              <w:jc w:val="center"/>
            </w:pPr>
            <w:r>
              <w:t>3</w:t>
            </w:r>
          </w:p>
        </w:tc>
        <w:tc>
          <w:tcPr>
            <w:tcW w:w="2160" w:type="dxa"/>
          </w:tcPr>
          <w:p w:rsidR="006E79D8" w:rsidRDefault="00755542" w:rsidP="001148A5">
            <w:pPr>
              <w:jc w:val="center"/>
            </w:pPr>
            <w:r>
              <w:t>1</w:t>
            </w:r>
          </w:p>
        </w:tc>
        <w:tc>
          <w:tcPr>
            <w:tcW w:w="2061" w:type="dxa"/>
          </w:tcPr>
          <w:p w:rsidR="006E79D8" w:rsidRDefault="00755542" w:rsidP="0010196C">
            <w:pPr>
              <w:jc w:val="center"/>
            </w:pPr>
            <w:r>
              <w:t>Fen</w:t>
            </w:r>
          </w:p>
        </w:tc>
      </w:tr>
      <w:tr w:rsidR="006E79D8" w:rsidTr="001148A5">
        <w:trPr>
          <w:jc w:val="center"/>
        </w:trPr>
        <w:tc>
          <w:tcPr>
            <w:tcW w:w="1040" w:type="dxa"/>
          </w:tcPr>
          <w:p w:rsidR="006E79D8" w:rsidRDefault="006E79D8" w:rsidP="001148A5">
            <w:pPr>
              <w:jc w:val="center"/>
            </w:pPr>
            <w:r>
              <w:t>6</w:t>
            </w:r>
          </w:p>
        </w:tc>
        <w:tc>
          <w:tcPr>
            <w:tcW w:w="2070" w:type="dxa"/>
          </w:tcPr>
          <w:p w:rsidR="006E79D8" w:rsidRDefault="00755542" w:rsidP="001148A5">
            <w:pPr>
              <w:jc w:val="center"/>
            </w:pPr>
            <w:r>
              <w:t>3</w:t>
            </w:r>
          </w:p>
        </w:tc>
        <w:tc>
          <w:tcPr>
            <w:tcW w:w="2160" w:type="dxa"/>
          </w:tcPr>
          <w:p w:rsidR="006E79D8" w:rsidRDefault="00755542" w:rsidP="001148A5">
            <w:pPr>
              <w:jc w:val="center"/>
            </w:pPr>
            <w:r>
              <w:t>2</w:t>
            </w:r>
          </w:p>
        </w:tc>
        <w:tc>
          <w:tcPr>
            <w:tcW w:w="2061" w:type="dxa"/>
          </w:tcPr>
          <w:p w:rsidR="006E79D8" w:rsidRDefault="00755542" w:rsidP="0010196C">
            <w:pPr>
              <w:jc w:val="center"/>
            </w:pPr>
            <w:r>
              <w:t xml:space="preserve">Forested </w:t>
            </w:r>
            <w:r w:rsidR="001148A5">
              <w:t>W</w:t>
            </w:r>
            <w:r>
              <w:t>etland</w:t>
            </w:r>
          </w:p>
        </w:tc>
      </w:tr>
      <w:tr w:rsidR="00935A40" w:rsidTr="001148A5">
        <w:trPr>
          <w:jc w:val="center"/>
        </w:trPr>
        <w:tc>
          <w:tcPr>
            <w:tcW w:w="1040" w:type="dxa"/>
          </w:tcPr>
          <w:p w:rsidR="00935A40" w:rsidRDefault="00935A40" w:rsidP="001148A5">
            <w:pPr>
              <w:jc w:val="center"/>
            </w:pPr>
            <w:r>
              <w:t>7</w:t>
            </w:r>
          </w:p>
        </w:tc>
        <w:tc>
          <w:tcPr>
            <w:tcW w:w="2070" w:type="dxa"/>
          </w:tcPr>
          <w:p w:rsidR="00935A40" w:rsidRDefault="00935A40" w:rsidP="001148A5">
            <w:pPr>
              <w:jc w:val="center"/>
            </w:pPr>
            <w:r>
              <w:t>5</w:t>
            </w:r>
          </w:p>
        </w:tc>
        <w:tc>
          <w:tcPr>
            <w:tcW w:w="2160" w:type="dxa"/>
          </w:tcPr>
          <w:p w:rsidR="00935A40" w:rsidRDefault="00935A40" w:rsidP="001148A5">
            <w:pPr>
              <w:jc w:val="center"/>
            </w:pPr>
            <w:r>
              <w:t>1</w:t>
            </w:r>
          </w:p>
        </w:tc>
        <w:tc>
          <w:tcPr>
            <w:tcW w:w="2061" w:type="dxa"/>
          </w:tcPr>
          <w:p w:rsidR="00935A40" w:rsidRDefault="00935A40" w:rsidP="0010196C">
            <w:pPr>
              <w:jc w:val="center"/>
            </w:pPr>
            <w:r>
              <w:t>Other Veg</w:t>
            </w:r>
          </w:p>
        </w:tc>
      </w:tr>
      <w:tr w:rsidR="00935A40" w:rsidTr="001148A5">
        <w:trPr>
          <w:jc w:val="center"/>
        </w:trPr>
        <w:tc>
          <w:tcPr>
            <w:tcW w:w="1040" w:type="dxa"/>
          </w:tcPr>
          <w:p w:rsidR="00935A40" w:rsidRDefault="00935A40" w:rsidP="001148A5">
            <w:pPr>
              <w:jc w:val="center"/>
            </w:pPr>
            <w:r>
              <w:t>8</w:t>
            </w:r>
          </w:p>
        </w:tc>
        <w:tc>
          <w:tcPr>
            <w:tcW w:w="2070" w:type="dxa"/>
          </w:tcPr>
          <w:p w:rsidR="00935A40" w:rsidRDefault="00935A40" w:rsidP="001148A5">
            <w:pPr>
              <w:jc w:val="center"/>
            </w:pPr>
            <w:r>
              <w:t>5</w:t>
            </w:r>
          </w:p>
        </w:tc>
        <w:tc>
          <w:tcPr>
            <w:tcW w:w="2160" w:type="dxa"/>
          </w:tcPr>
          <w:p w:rsidR="00935A40" w:rsidRDefault="00935A40" w:rsidP="001148A5">
            <w:pPr>
              <w:jc w:val="center"/>
            </w:pPr>
            <w:r>
              <w:t>2</w:t>
            </w:r>
          </w:p>
        </w:tc>
        <w:tc>
          <w:tcPr>
            <w:tcW w:w="2061" w:type="dxa"/>
          </w:tcPr>
          <w:p w:rsidR="00935A40" w:rsidRDefault="00935A40" w:rsidP="0010196C">
            <w:pPr>
              <w:jc w:val="center"/>
            </w:pPr>
            <w:r>
              <w:t>Other Veg</w:t>
            </w:r>
          </w:p>
        </w:tc>
      </w:tr>
    </w:tbl>
    <w:p w:rsidR="006E79D8" w:rsidRDefault="006E79D8" w:rsidP="00755542">
      <w:pPr>
        <w:spacing w:after="0" w:line="240" w:lineRule="auto"/>
      </w:pPr>
    </w:p>
    <w:p w:rsidR="00755542" w:rsidRDefault="00755542" w:rsidP="00755542">
      <w:pPr>
        <w:pStyle w:val="ListParagraph"/>
        <w:numPr>
          <w:ilvl w:val="0"/>
          <w:numId w:val="1"/>
        </w:numPr>
        <w:spacing w:after="0" w:line="240" w:lineRule="auto"/>
      </w:pPr>
      <w:r>
        <w:t>Re</w:t>
      </w:r>
      <w:r w:rsidR="001B7D20">
        <w:t>class the combined raster from S</w:t>
      </w:r>
      <w:r>
        <w:t>tep 5:</w:t>
      </w:r>
      <w:r>
        <w:br/>
      </w:r>
    </w:p>
    <w:tbl>
      <w:tblPr>
        <w:tblStyle w:val="TableGrid"/>
        <w:tblW w:w="0" w:type="auto"/>
        <w:jc w:val="center"/>
        <w:tblInd w:w="360" w:type="dxa"/>
        <w:tblLook w:val="04A0" w:firstRow="1" w:lastRow="0" w:firstColumn="1" w:lastColumn="0" w:noHBand="0" w:noVBand="1"/>
      </w:tblPr>
      <w:tblGrid>
        <w:gridCol w:w="1818"/>
        <w:gridCol w:w="1890"/>
        <w:gridCol w:w="2160"/>
      </w:tblGrid>
      <w:tr w:rsidR="00755542" w:rsidRPr="00755542" w:rsidTr="0010196C">
        <w:trPr>
          <w:jc w:val="center"/>
        </w:trPr>
        <w:tc>
          <w:tcPr>
            <w:tcW w:w="1818" w:type="dxa"/>
          </w:tcPr>
          <w:p w:rsidR="00755542" w:rsidRPr="00755542" w:rsidRDefault="00755542" w:rsidP="00755542">
            <w:pPr>
              <w:jc w:val="center"/>
              <w:rPr>
                <w:b/>
              </w:rPr>
            </w:pPr>
            <w:r w:rsidRPr="00755542">
              <w:rPr>
                <w:b/>
              </w:rPr>
              <w:t>OLD VALUE</w:t>
            </w:r>
          </w:p>
        </w:tc>
        <w:tc>
          <w:tcPr>
            <w:tcW w:w="1890" w:type="dxa"/>
          </w:tcPr>
          <w:p w:rsidR="00755542" w:rsidRPr="00755542" w:rsidRDefault="00755542" w:rsidP="00755542">
            <w:pPr>
              <w:jc w:val="center"/>
              <w:rPr>
                <w:b/>
              </w:rPr>
            </w:pPr>
            <w:r w:rsidRPr="00755542">
              <w:rPr>
                <w:b/>
              </w:rPr>
              <w:t>NEW VALUE</w:t>
            </w:r>
          </w:p>
        </w:tc>
        <w:tc>
          <w:tcPr>
            <w:tcW w:w="2160" w:type="dxa"/>
          </w:tcPr>
          <w:p w:rsidR="00755542" w:rsidRPr="00755542" w:rsidRDefault="00755542" w:rsidP="00755542">
            <w:pPr>
              <w:jc w:val="center"/>
              <w:rPr>
                <w:b/>
              </w:rPr>
            </w:pPr>
            <w:r w:rsidRPr="00755542">
              <w:rPr>
                <w:b/>
              </w:rPr>
              <w:t>Description</w:t>
            </w:r>
          </w:p>
        </w:tc>
      </w:tr>
      <w:tr w:rsidR="00755542" w:rsidTr="0010196C">
        <w:trPr>
          <w:jc w:val="center"/>
        </w:trPr>
        <w:tc>
          <w:tcPr>
            <w:tcW w:w="1818" w:type="dxa"/>
          </w:tcPr>
          <w:p w:rsidR="00755542" w:rsidRDefault="00755542" w:rsidP="00755542">
            <w:pPr>
              <w:jc w:val="center"/>
            </w:pPr>
            <w:r>
              <w:t>1,2</w:t>
            </w:r>
          </w:p>
        </w:tc>
        <w:tc>
          <w:tcPr>
            <w:tcW w:w="1890" w:type="dxa"/>
          </w:tcPr>
          <w:p w:rsidR="00755542" w:rsidRDefault="00755542" w:rsidP="00755542">
            <w:pPr>
              <w:jc w:val="center"/>
            </w:pPr>
            <w:r>
              <w:t>1</w:t>
            </w:r>
          </w:p>
        </w:tc>
        <w:tc>
          <w:tcPr>
            <w:tcW w:w="2160" w:type="dxa"/>
          </w:tcPr>
          <w:p w:rsidR="00755542" w:rsidRDefault="00755542" w:rsidP="00FD3FF8">
            <w:pPr>
              <w:jc w:val="center"/>
            </w:pPr>
            <w:r>
              <w:t xml:space="preserve">No </w:t>
            </w:r>
            <w:r w:rsidR="00FD3FF8">
              <w:t>V</w:t>
            </w:r>
            <w:r>
              <w:t>eg</w:t>
            </w:r>
          </w:p>
        </w:tc>
      </w:tr>
      <w:tr w:rsidR="00755542" w:rsidTr="0010196C">
        <w:trPr>
          <w:jc w:val="center"/>
        </w:trPr>
        <w:tc>
          <w:tcPr>
            <w:tcW w:w="1818" w:type="dxa"/>
          </w:tcPr>
          <w:p w:rsidR="00755542" w:rsidRDefault="00755542" w:rsidP="00755542">
            <w:pPr>
              <w:jc w:val="center"/>
            </w:pPr>
            <w:r>
              <w:t>4</w:t>
            </w:r>
          </w:p>
        </w:tc>
        <w:tc>
          <w:tcPr>
            <w:tcW w:w="1890" w:type="dxa"/>
          </w:tcPr>
          <w:p w:rsidR="00755542" w:rsidRDefault="00755542" w:rsidP="00755542">
            <w:pPr>
              <w:jc w:val="center"/>
            </w:pPr>
            <w:r>
              <w:t>2</w:t>
            </w:r>
          </w:p>
        </w:tc>
        <w:tc>
          <w:tcPr>
            <w:tcW w:w="2160" w:type="dxa"/>
          </w:tcPr>
          <w:p w:rsidR="00755542" w:rsidRDefault="00755542" w:rsidP="00755542">
            <w:pPr>
              <w:jc w:val="center"/>
            </w:pPr>
            <w:r>
              <w:t>Upland</w:t>
            </w:r>
          </w:p>
        </w:tc>
      </w:tr>
      <w:tr w:rsidR="00755542" w:rsidTr="0010196C">
        <w:trPr>
          <w:jc w:val="center"/>
        </w:trPr>
        <w:tc>
          <w:tcPr>
            <w:tcW w:w="1818" w:type="dxa"/>
          </w:tcPr>
          <w:p w:rsidR="00755542" w:rsidRDefault="00755542" w:rsidP="00755542">
            <w:pPr>
              <w:jc w:val="center"/>
            </w:pPr>
            <w:r>
              <w:t>6</w:t>
            </w:r>
          </w:p>
        </w:tc>
        <w:tc>
          <w:tcPr>
            <w:tcW w:w="1890" w:type="dxa"/>
          </w:tcPr>
          <w:p w:rsidR="00755542" w:rsidRDefault="00755542" w:rsidP="00755542">
            <w:pPr>
              <w:jc w:val="center"/>
            </w:pPr>
            <w:r>
              <w:t>3</w:t>
            </w:r>
          </w:p>
        </w:tc>
        <w:tc>
          <w:tcPr>
            <w:tcW w:w="2160" w:type="dxa"/>
          </w:tcPr>
          <w:p w:rsidR="00755542" w:rsidRDefault="00755542" w:rsidP="00755542">
            <w:pPr>
              <w:jc w:val="center"/>
            </w:pPr>
            <w:r>
              <w:t>Forested wetland</w:t>
            </w:r>
          </w:p>
        </w:tc>
      </w:tr>
      <w:tr w:rsidR="00755542" w:rsidTr="0010196C">
        <w:trPr>
          <w:jc w:val="center"/>
        </w:trPr>
        <w:tc>
          <w:tcPr>
            <w:tcW w:w="1818" w:type="dxa"/>
          </w:tcPr>
          <w:p w:rsidR="00755542" w:rsidRDefault="00AB370D" w:rsidP="00755542">
            <w:pPr>
              <w:jc w:val="center"/>
            </w:pPr>
            <w:r>
              <w:t>3,</w:t>
            </w:r>
            <w:r w:rsidR="00755542">
              <w:t>5</w:t>
            </w:r>
          </w:p>
        </w:tc>
        <w:tc>
          <w:tcPr>
            <w:tcW w:w="1890" w:type="dxa"/>
          </w:tcPr>
          <w:p w:rsidR="00755542" w:rsidRDefault="00755542" w:rsidP="00755542">
            <w:pPr>
              <w:jc w:val="center"/>
            </w:pPr>
            <w:r>
              <w:t>4</w:t>
            </w:r>
          </w:p>
        </w:tc>
        <w:tc>
          <w:tcPr>
            <w:tcW w:w="2160" w:type="dxa"/>
          </w:tcPr>
          <w:p w:rsidR="00755542" w:rsidRDefault="00755542" w:rsidP="00755542">
            <w:pPr>
              <w:jc w:val="center"/>
            </w:pPr>
            <w:r>
              <w:t>Fen</w:t>
            </w:r>
          </w:p>
        </w:tc>
      </w:tr>
      <w:tr w:rsidR="00935A40" w:rsidTr="0010196C">
        <w:trPr>
          <w:jc w:val="center"/>
        </w:trPr>
        <w:tc>
          <w:tcPr>
            <w:tcW w:w="1818" w:type="dxa"/>
          </w:tcPr>
          <w:p w:rsidR="00935A40" w:rsidRDefault="00935A40" w:rsidP="00755542">
            <w:pPr>
              <w:jc w:val="center"/>
            </w:pPr>
            <w:r>
              <w:t>7,8</w:t>
            </w:r>
          </w:p>
        </w:tc>
        <w:tc>
          <w:tcPr>
            <w:tcW w:w="1890" w:type="dxa"/>
          </w:tcPr>
          <w:p w:rsidR="00935A40" w:rsidRDefault="00935A40" w:rsidP="00755542">
            <w:pPr>
              <w:jc w:val="center"/>
            </w:pPr>
            <w:r>
              <w:t>5</w:t>
            </w:r>
          </w:p>
        </w:tc>
        <w:tc>
          <w:tcPr>
            <w:tcW w:w="2160" w:type="dxa"/>
          </w:tcPr>
          <w:p w:rsidR="00935A40" w:rsidRDefault="00935A40" w:rsidP="00755542">
            <w:pPr>
              <w:jc w:val="center"/>
            </w:pPr>
            <w:r>
              <w:t>Other Veg</w:t>
            </w:r>
          </w:p>
        </w:tc>
      </w:tr>
      <w:tr w:rsidR="00755542" w:rsidTr="0010196C">
        <w:trPr>
          <w:jc w:val="center"/>
        </w:trPr>
        <w:tc>
          <w:tcPr>
            <w:tcW w:w="1818" w:type="dxa"/>
          </w:tcPr>
          <w:p w:rsidR="00755542" w:rsidRDefault="00755542" w:rsidP="00755542">
            <w:pPr>
              <w:jc w:val="center"/>
            </w:pPr>
            <w:r>
              <w:t>NoData</w:t>
            </w:r>
          </w:p>
        </w:tc>
        <w:tc>
          <w:tcPr>
            <w:tcW w:w="1890" w:type="dxa"/>
          </w:tcPr>
          <w:p w:rsidR="00755542" w:rsidRDefault="00755542" w:rsidP="00755542">
            <w:pPr>
              <w:jc w:val="center"/>
            </w:pPr>
            <w:r>
              <w:t>NoData</w:t>
            </w:r>
          </w:p>
        </w:tc>
        <w:tc>
          <w:tcPr>
            <w:tcW w:w="2160" w:type="dxa"/>
          </w:tcPr>
          <w:p w:rsidR="00755542" w:rsidRDefault="00755542" w:rsidP="00755542">
            <w:pPr>
              <w:jc w:val="center"/>
            </w:pPr>
          </w:p>
        </w:tc>
      </w:tr>
    </w:tbl>
    <w:p w:rsidR="006621F9" w:rsidRDefault="006621F9" w:rsidP="000C5701">
      <w:pPr>
        <w:spacing w:after="0" w:line="240" w:lineRule="auto"/>
      </w:pPr>
    </w:p>
    <w:p w:rsidR="006206A2" w:rsidRDefault="006206A2" w:rsidP="001335E6">
      <w:pPr>
        <w:pStyle w:val="ListParagraph"/>
        <w:spacing w:after="0" w:line="240" w:lineRule="auto"/>
        <w:ind w:left="1080"/>
      </w:pPr>
    </w:p>
    <w:p w:rsidR="006206A2" w:rsidRDefault="006206A2" w:rsidP="006206A2">
      <w:pPr>
        <w:pStyle w:val="ListParagraph"/>
        <w:numPr>
          <w:ilvl w:val="0"/>
          <w:numId w:val="1"/>
        </w:numPr>
        <w:spacing w:after="0" w:line="240" w:lineRule="auto"/>
      </w:pPr>
      <w:r w:rsidRPr="001A3144">
        <w:t xml:space="preserve">Using </w:t>
      </w:r>
      <w:r w:rsidR="0061372D" w:rsidRPr="001A3144">
        <w:rPr>
          <w:b/>
          <w:i/>
        </w:rPr>
        <w:t>TNF</w:t>
      </w:r>
      <w:r w:rsidRPr="001A3144">
        <w:rPr>
          <w:b/>
          <w:i/>
        </w:rPr>
        <w:t>CoverType</w:t>
      </w:r>
      <w:r w:rsidR="001E5805">
        <w:t xml:space="preserve">, </w:t>
      </w:r>
      <w:r w:rsidR="0061372D">
        <w:t xml:space="preserve">identify </w:t>
      </w:r>
      <w:r w:rsidR="00280886">
        <w:t xml:space="preserve">non-conifer forest </w:t>
      </w:r>
      <w:r w:rsidR="0061372D">
        <w:t xml:space="preserve">areas </w:t>
      </w:r>
      <w:r w:rsidR="00280886">
        <w:t>dominated by</w:t>
      </w:r>
      <w:r w:rsidR="00DB2B96">
        <w:t xml:space="preserve"> </w:t>
      </w:r>
      <w:r w:rsidR="0061372D">
        <w:t xml:space="preserve">alder, </w:t>
      </w:r>
      <w:r w:rsidR="00280886">
        <w:t xml:space="preserve">brush, willow, slide zones, and optionally, </w:t>
      </w:r>
      <w:r w:rsidR="0061372D">
        <w:t xml:space="preserve">alpine, </w:t>
      </w:r>
      <w:r w:rsidR="00DB2B96">
        <w:t>in the raster</w:t>
      </w:r>
      <w:r w:rsidR="00673610">
        <w:t xml:space="preserve"> output</w:t>
      </w:r>
      <w:r w:rsidR="00DB2B96">
        <w:t xml:space="preserve"> from Step </w:t>
      </w:r>
      <w:r w:rsidR="00673610">
        <w:t>6</w:t>
      </w:r>
      <w:r w:rsidR="0061372D">
        <w:t>.  Change th</w:t>
      </w:r>
      <w:r w:rsidR="00280886">
        <w:t xml:space="preserve">ese cell values to </w:t>
      </w:r>
      <w:r w:rsidR="00B50CD4">
        <w:t>Other</w:t>
      </w:r>
      <w:r w:rsidR="00280886">
        <w:t xml:space="preserve"> Veg (</w:t>
      </w:r>
      <w:r w:rsidR="00B50CD4">
        <w:t>5) or Alpine</w:t>
      </w:r>
      <w:r w:rsidR="0061372D">
        <w:t xml:space="preserve"> (</w:t>
      </w:r>
      <w:r w:rsidR="00B50CD4">
        <w:t>6</w:t>
      </w:r>
      <w:r w:rsidR="0061372D">
        <w:t>)</w:t>
      </w:r>
      <w:r w:rsidR="00B50CD4">
        <w:t xml:space="preserve"> [Optional class]</w:t>
      </w:r>
      <w:r w:rsidR="0061372D">
        <w:t>.</w:t>
      </w:r>
    </w:p>
    <w:p w:rsidR="00D726CE" w:rsidRDefault="0061372D" w:rsidP="0061372D">
      <w:pPr>
        <w:pStyle w:val="ListParagraph"/>
        <w:numPr>
          <w:ilvl w:val="1"/>
          <w:numId w:val="1"/>
        </w:numPr>
        <w:spacing w:after="0" w:line="240" w:lineRule="auto"/>
      </w:pPr>
      <w:r>
        <w:t>Create a new field in TNFCoverType</w:t>
      </w:r>
      <w:r w:rsidR="00BE0D46">
        <w:t xml:space="preserve"> called “covcls.”  </w:t>
      </w:r>
      <w:r w:rsidR="00050B78">
        <w:t xml:space="preserve">  </w:t>
      </w:r>
      <w:r w:rsidR="00050B78" w:rsidRPr="00050B78">
        <w:rPr>
          <w:b/>
          <w:color w:val="FF0000"/>
        </w:rPr>
        <w:t>[DONE</w:t>
      </w:r>
      <w:r w:rsidR="00050B78">
        <w:rPr>
          <w:b/>
          <w:color w:val="FF0000"/>
        </w:rPr>
        <w:t xml:space="preserve">, fc name is </w:t>
      </w:r>
      <w:r w:rsidR="00050B78" w:rsidRPr="00050B78">
        <w:rPr>
          <w:b/>
          <w:i/>
          <w:color w:val="FF0000"/>
        </w:rPr>
        <w:t>TNFCoverType_OtherVeg_and_Alpine</w:t>
      </w:r>
      <w:r w:rsidR="00050B78" w:rsidRPr="00050B78">
        <w:rPr>
          <w:b/>
          <w:color w:val="FF0000"/>
        </w:rPr>
        <w:t>]</w:t>
      </w:r>
    </w:p>
    <w:p w:rsidR="00D726CE" w:rsidRDefault="00BE0D46" w:rsidP="00D726CE">
      <w:pPr>
        <w:pStyle w:val="ListParagraph"/>
        <w:numPr>
          <w:ilvl w:val="2"/>
          <w:numId w:val="1"/>
        </w:numPr>
        <w:spacing w:after="0" w:line="240" w:lineRule="auto"/>
      </w:pPr>
      <w:r>
        <w:t xml:space="preserve">Code </w:t>
      </w:r>
      <w:r w:rsidRPr="00B50CD4">
        <w:rPr>
          <w:i/>
        </w:rPr>
        <w:t>covcls</w:t>
      </w:r>
      <w:r>
        <w:t xml:space="preserve"> = </w:t>
      </w:r>
      <w:r w:rsidR="00B50CD4">
        <w:t>5</w:t>
      </w:r>
      <w:r>
        <w:t xml:space="preserve"> (i.e., </w:t>
      </w:r>
      <w:r w:rsidR="00B50CD4">
        <w:t>Other Veg</w:t>
      </w:r>
      <w:r>
        <w:t>) where</w:t>
      </w:r>
      <w:r w:rsidR="00D726CE">
        <w:t xml:space="preserve"> NFCON = </w:t>
      </w:r>
      <w:r w:rsidR="00B50CD4">
        <w:t>A, B, S, T. or W</w:t>
      </w:r>
      <w:r w:rsidR="00D726CE">
        <w:t xml:space="preserve">.  Translation: “non-forested condition = </w:t>
      </w:r>
      <w:r w:rsidR="00B50CD4">
        <w:t>alder brush, brush, recurrent slide, willow, or mass wasting</w:t>
      </w:r>
      <w:r w:rsidR="00D726CE">
        <w:t>.”</w:t>
      </w:r>
    </w:p>
    <w:p w:rsidR="00D726CE" w:rsidRDefault="00B50CD4" w:rsidP="00050B78">
      <w:pPr>
        <w:pStyle w:val="ListParagraph"/>
        <w:numPr>
          <w:ilvl w:val="1"/>
          <w:numId w:val="1"/>
        </w:numPr>
        <w:spacing w:after="0" w:line="240" w:lineRule="auto"/>
      </w:pPr>
      <w:r>
        <w:t xml:space="preserve">OPTIONAL:  </w:t>
      </w:r>
      <w:r w:rsidR="00D726CE">
        <w:t xml:space="preserve">Code </w:t>
      </w:r>
      <w:r w:rsidR="00D726CE" w:rsidRPr="00B50CD4">
        <w:rPr>
          <w:i/>
        </w:rPr>
        <w:t>covcls</w:t>
      </w:r>
      <w:r w:rsidR="00D726CE">
        <w:t xml:space="preserve"> = </w:t>
      </w:r>
      <w:r>
        <w:t>6</w:t>
      </w:r>
      <w:r w:rsidR="00D726CE">
        <w:t xml:space="preserve"> (i.e., </w:t>
      </w:r>
      <w:r>
        <w:t>Alpine</w:t>
      </w:r>
      <w:r w:rsidR="00D726CE">
        <w:t xml:space="preserve">) where </w:t>
      </w:r>
      <w:r>
        <w:t>NFCON =</w:t>
      </w:r>
      <w:r w:rsidR="00D726CE">
        <w:t xml:space="preserve"> H.  </w:t>
      </w:r>
      <w:r>
        <w:t>Translation: “non-forested condition = alpine.”  Dave McGuire indicated he had information that TEM could apply to alpine areas.</w:t>
      </w:r>
      <w:r w:rsidR="006C43BE">
        <w:t xml:space="preserve">  S</w:t>
      </w:r>
      <w:r>
        <w:t>kip this step if choosing not to identify alpine</w:t>
      </w:r>
      <w:r w:rsidR="0072467B">
        <w:t xml:space="preserve"> areas in the TNF.</w:t>
      </w:r>
      <w:r w:rsidR="00050B78">
        <w:t xml:space="preserve">  </w:t>
      </w:r>
      <w:r w:rsidR="00050B78" w:rsidRPr="00050B78">
        <w:rPr>
          <w:b/>
          <w:color w:val="FF0000"/>
        </w:rPr>
        <w:t>[DONE</w:t>
      </w:r>
      <w:r w:rsidR="00050B78">
        <w:rPr>
          <w:b/>
          <w:color w:val="FF0000"/>
        </w:rPr>
        <w:t xml:space="preserve">, fc  name is </w:t>
      </w:r>
      <w:r w:rsidR="00050B78" w:rsidRPr="00050B78">
        <w:rPr>
          <w:b/>
          <w:i/>
          <w:color w:val="FF0000"/>
        </w:rPr>
        <w:t>TNFCoverType_OtherVeg_and_Alpine</w:t>
      </w:r>
      <w:r w:rsidR="00050B78" w:rsidRPr="00050B78">
        <w:rPr>
          <w:b/>
          <w:color w:val="FF0000"/>
        </w:rPr>
        <w:t>]</w:t>
      </w:r>
    </w:p>
    <w:p w:rsidR="001F3FAE" w:rsidRDefault="00D726CE" w:rsidP="00D726CE">
      <w:pPr>
        <w:pStyle w:val="ListParagraph"/>
        <w:numPr>
          <w:ilvl w:val="1"/>
          <w:numId w:val="1"/>
        </w:numPr>
        <w:spacing w:after="0" w:line="240" w:lineRule="auto"/>
      </w:pPr>
      <w:r>
        <w:t xml:space="preserve">Convert the TNFCoverType polygon feature </w:t>
      </w:r>
      <w:r w:rsidR="0072467B">
        <w:t xml:space="preserve">class to a raster.  Choose the </w:t>
      </w:r>
      <w:r w:rsidRPr="0072467B">
        <w:rPr>
          <w:i/>
        </w:rPr>
        <w:t>c</w:t>
      </w:r>
      <w:r w:rsidR="0072467B" w:rsidRPr="0072467B">
        <w:rPr>
          <w:i/>
        </w:rPr>
        <w:t>ovcls</w:t>
      </w:r>
      <w:r>
        <w:t xml:space="preserve"> field to assign </w:t>
      </w:r>
      <w:r w:rsidR="003B32AE">
        <w:t xml:space="preserve">cell </w:t>
      </w:r>
      <w:r>
        <w:t xml:space="preserve">values to the output raster. Set the cell size to 30m. Specify the raster output from </w:t>
      </w:r>
      <w:r w:rsidR="00673610">
        <w:t>S</w:t>
      </w:r>
      <w:r>
        <w:t xml:space="preserve">tep </w:t>
      </w:r>
      <w:r w:rsidR="00673610">
        <w:t>6</w:t>
      </w:r>
      <w:r>
        <w:t xml:space="preserve"> (or </w:t>
      </w:r>
      <w:r w:rsidR="001E6A92">
        <w:t>either</w:t>
      </w:r>
      <w:r>
        <w:t xml:space="preserve"> of the re-projected NLCD rasters) as the snap and extent raster. Use Nearest Neighbor for resample method. All polygons without a </w:t>
      </w:r>
      <w:r w:rsidRPr="0072467B">
        <w:rPr>
          <w:i/>
        </w:rPr>
        <w:t>covcls</w:t>
      </w:r>
      <w:r>
        <w:t xml:space="preserve"> value will be assigned a NoData value.</w:t>
      </w:r>
    </w:p>
    <w:p w:rsidR="007273D5" w:rsidRPr="007273D5" w:rsidRDefault="001F3FAE" w:rsidP="007273D5">
      <w:pPr>
        <w:pStyle w:val="ListParagraph"/>
        <w:numPr>
          <w:ilvl w:val="1"/>
          <w:numId w:val="1"/>
        </w:numPr>
        <w:spacing w:after="0" w:line="240" w:lineRule="auto"/>
        <w:rPr>
          <w:i/>
        </w:rPr>
      </w:pPr>
      <w:r w:rsidRPr="00D726CE">
        <w:t xml:space="preserve">Use the Raster Calculator to </w:t>
      </w:r>
      <w:r w:rsidR="003B32AE">
        <w:t>enter</w:t>
      </w:r>
      <w:r w:rsidRPr="00D726CE">
        <w:t xml:space="preserve"> an expression </w:t>
      </w:r>
      <w:r w:rsidR="003B32AE">
        <w:t>that will</w:t>
      </w:r>
      <w:r w:rsidRPr="00D726CE">
        <w:t xml:space="preserve"> </w:t>
      </w:r>
      <w:r w:rsidR="003B32AE">
        <w:t>create</w:t>
      </w:r>
      <w:r w:rsidRPr="00D726CE">
        <w:t xml:space="preserve"> a new raster where all the cells</w:t>
      </w:r>
      <w:r>
        <w:t xml:space="preserve"> coincident with a coded value in the TNFCoverType raster will have a value=</w:t>
      </w:r>
      <w:r w:rsidR="0072467B">
        <w:t>5</w:t>
      </w:r>
      <w:r>
        <w:t xml:space="preserve"> </w:t>
      </w:r>
      <w:r w:rsidR="0072467B">
        <w:t>(</w:t>
      </w:r>
      <w:r>
        <w:t xml:space="preserve">or </w:t>
      </w:r>
      <w:r w:rsidR="0072467B">
        <w:t>6</w:t>
      </w:r>
      <w:r w:rsidR="006C43BE">
        <w:t xml:space="preserve"> if alpine is included</w:t>
      </w:r>
      <w:r w:rsidR="0072467B">
        <w:t>)</w:t>
      </w:r>
      <w:r w:rsidR="007273D5">
        <w:t>.</w:t>
      </w:r>
    </w:p>
    <w:p w:rsidR="001F3FAE" w:rsidRPr="007273D5" w:rsidRDefault="001F3FAE" w:rsidP="007273D5">
      <w:pPr>
        <w:spacing w:after="0" w:line="240" w:lineRule="auto"/>
        <w:ind w:left="1440"/>
        <w:rPr>
          <w:i/>
        </w:rPr>
      </w:pPr>
      <w:proofErr w:type="gramStart"/>
      <w:r w:rsidRPr="007273D5">
        <w:rPr>
          <w:i/>
        </w:rPr>
        <w:t>Con(</w:t>
      </w:r>
      <w:proofErr w:type="gramEnd"/>
      <w:r w:rsidRPr="007273D5">
        <w:rPr>
          <w:i/>
        </w:rPr>
        <w:t>IsNull(NameOfTNFCoverTypeRaster), NameOfRasterFromStep</w:t>
      </w:r>
      <w:r w:rsidR="001B7D20">
        <w:rPr>
          <w:i/>
        </w:rPr>
        <w:t>6</w:t>
      </w:r>
      <w:r w:rsidRPr="007273D5">
        <w:rPr>
          <w:i/>
        </w:rPr>
        <w:t>, NameOfTNFCoverTypeRaster)</w:t>
      </w:r>
    </w:p>
    <w:p w:rsidR="00B87012" w:rsidRDefault="001F3FAE" w:rsidP="00B87012">
      <w:pPr>
        <w:pStyle w:val="ListParagraph"/>
        <w:spacing w:after="0" w:line="240" w:lineRule="auto"/>
        <w:ind w:left="1080"/>
      </w:pPr>
      <w:r>
        <w:t>That is, where the TNFCoverType raster is equal to NoData, use the grid cell value from the raster output from Step</w:t>
      </w:r>
      <w:r w:rsidR="00673610">
        <w:t xml:space="preserve"> 6</w:t>
      </w:r>
      <w:r>
        <w:t>. Otherwise use the grid cell value from the TNFCoverType raster. Don’t forget to specify the snap &amp; extent raster</w:t>
      </w:r>
      <w:r w:rsidR="00B87012">
        <w:t>.</w:t>
      </w:r>
    </w:p>
    <w:p w:rsidR="00A300CB" w:rsidRDefault="00A300CB" w:rsidP="00A300CB">
      <w:pPr>
        <w:spacing w:after="0" w:line="240" w:lineRule="auto"/>
      </w:pPr>
    </w:p>
    <w:p w:rsidR="00A300CB" w:rsidRDefault="00A300CB" w:rsidP="00A300CB">
      <w:pPr>
        <w:pStyle w:val="ListParagraph"/>
        <w:numPr>
          <w:ilvl w:val="0"/>
          <w:numId w:val="1"/>
        </w:numPr>
        <w:spacing w:after="0" w:line="240" w:lineRule="auto"/>
      </w:pPr>
      <w:r>
        <w:t xml:space="preserve">Using </w:t>
      </w:r>
      <w:r w:rsidRPr="00A300CB">
        <w:rPr>
          <w:b/>
          <w:i/>
        </w:rPr>
        <w:t>AKNPLCC_2ndGrowth</w:t>
      </w:r>
      <w:r>
        <w:t xml:space="preserve">, change all cell values in the raster output from Step </w:t>
      </w:r>
      <w:r w:rsidR="00673610">
        <w:t>7</w:t>
      </w:r>
      <w:r>
        <w:t xml:space="preserve"> that coincide with logged areas to </w:t>
      </w:r>
      <w:r w:rsidRPr="00673610">
        <w:rPr>
          <w:b/>
        </w:rPr>
        <w:t>2</w:t>
      </w:r>
      <w:r>
        <w:t xml:space="preserve"> (Upland).  At the same time, create a harvest layer raster for later use in TEM for assigning carbon stock values in second-growth stands.</w:t>
      </w:r>
    </w:p>
    <w:p w:rsidR="00A300CB" w:rsidRDefault="00A300CB" w:rsidP="00A300CB">
      <w:pPr>
        <w:pStyle w:val="ListParagraph"/>
        <w:numPr>
          <w:ilvl w:val="1"/>
          <w:numId w:val="1"/>
        </w:numPr>
        <w:spacing w:after="0" w:line="240" w:lineRule="auto"/>
      </w:pPr>
      <w:r>
        <w:lastRenderedPageBreak/>
        <w:t xml:space="preserve">Convert the </w:t>
      </w:r>
      <w:r>
        <w:rPr>
          <w:i/>
        </w:rPr>
        <w:t>AKNPLCC</w:t>
      </w:r>
      <w:r w:rsidRPr="00B66ABE">
        <w:rPr>
          <w:i/>
        </w:rPr>
        <w:t>_2ndGrowth</w:t>
      </w:r>
      <w:r>
        <w:t xml:space="preserve"> polygon feature class to a raster.  Choose the “year” field to assign values to the output raster. Set the cell size to 30m. </w:t>
      </w:r>
      <w:r w:rsidR="00673610">
        <w:t>Specify the raster output from S</w:t>
      </w:r>
      <w:r>
        <w:t xml:space="preserve">tep </w:t>
      </w:r>
      <w:r w:rsidR="00673610">
        <w:t>7</w:t>
      </w:r>
      <w:r>
        <w:t xml:space="preserve"> (or either of the re-projected NLCD rasters) as the snap and extent raster. Use Nearest Neighbor for resample method. All areas without a </w:t>
      </w:r>
      <w:r w:rsidRPr="0072467B">
        <w:rPr>
          <w:i/>
        </w:rPr>
        <w:t>year</w:t>
      </w:r>
      <w:r>
        <w:t xml:space="preserve"> value will be assigned a NoData value.</w:t>
      </w:r>
      <w:r w:rsidR="00A34FF2">
        <w:t xml:space="preserve">  This raster will be used in TEM to assign carbon values to second-growth stands based on stand age (i.e., the value in the </w:t>
      </w:r>
      <w:r w:rsidR="00A34FF2" w:rsidRPr="00A34FF2">
        <w:rPr>
          <w:i/>
        </w:rPr>
        <w:t>year</w:t>
      </w:r>
      <w:r w:rsidR="00A34FF2">
        <w:t xml:space="preserve"> field).</w:t>
      </w:r>
    </w:p>
    <w:p w:rsidR="00A300CB" w:rsidRDefault="00A300CB" w:rsidP="00A300CB">
      <w:pPr>
        <w:pStyle w:val="ListParagraph"/>
        <w:numPr>
          <w:ilvl w:val="1"/>
          <w:numId w:val="1"/>
        </w:numPr>
        <w:spacing w:after="0" w:line="240" w:lineRule="auto"/>
      </w:pPr>
      <w:r>
        <w:t>Use the Raster Calculator to enter an expression that will create a new raster where all the cells coincident with a harvested area in the AKNPLCC_2ndGrowth raster will be assigned a value of 2 (Upland).</w:t>
      </w:r>
    </w:p>
    <w:p w:rsidR="00A300CB" w:rsidRPr="00A300CB" w:rsidRDefault="00A300CB" w:rsidP="007273D5">
      <w:pPr>
        <w:spacing w:after="0" w:line="240" w:lineRule="auto"/>
        <w:ind w:left="1080" w:firstLine="360"/>
        <w:rPr>
          <w:i/>
        </w:rPr>
      </w:pPr>
      <w:proofErr w:type="gramStart"/>
      <w:r w:rsidRPr="00A300CB">
        <w:rPr>
          <w:i/>
        </w:rPr>
        <w:t>Con(</w:t>
      </w:r>
      <w:proofErr w:type="gramEnd"/>
      <w:r w:rsidRPr="00A300CB">
        <w:rPr>
          <w:i/>
        </w:rPr>
        <w:t>IsNull(</w:t>
      </w:r>
      <w:r w:rsidR="00A34FF2">
        <w:rPr>
          <w:i/>
        </w:rPr>
        <w:t>NameOf</w:t>
      </w:r>
      <w:r w:rsidRPr="00A300CB">
        <w:rPr>
          <w:i/>
        </w:rPr>
        <w:t xml:space="preserve"> </w:t>
      </w:r>
      <w:r w:rsidR="00673610">
        <w:rPr>
          <w:i/>
        </w:rPr>
        <w:t>AKNPLCC</w:t>
      </w:r>
      <w:r w:rsidRPr="00A300CB">
        <w:rPr>
          <w:i/>
        </w:rPr>
        <w:t>_2ndGrowth Raster), NameOfRasterFromStep</w:t>
      </w:r>
      <w:r w:rsidR="00A34FF2">
        <w:rPr>
          <w:i/>
        </w:rPr>
        <w:t>7</w:t>
      </w:r>
      <w:r w:rsidRPr="00A300CB">
        <w:rPr>
          <w:i/>
        </w:rPr>
        <w:t xml:space="preserve">, </w:t>
      </w:r>
      <w:r w:rsidR="007273D5">
        <w:rPr>
          <w:i/>
        </w:rPr>
        <w:t>2</w:t>
      </w:r>
      <w:r w:rsidRPr="00A300CB">
        <w:rPr>
          <w:i/>
        </w:rPr>
        <w:t>)</w:t>
      </w:r>
    </w:p>
    <w:p w:rsidR="00A300CB" w:rsidRDefault="00A300CB" w:rsidP="008B0716">
      <w:pPr>
        <w:pStyle w:val="ListParagraph"/>
        <w:spacing w:after="0" w:line="240" w:lineRule="auto"/>
        <w:ind w:left="1080"/>
      </w:pPr>
      <w:r>
        <w:t xml:space="preserve">That is, where the </w:t>
      </w:r>
      <w:r w:rsidR="00673610">
        <w:rPr>
          <w:i/>
        </w:rPr>
        <w:t>AKNPLCC</w:t>
      </w:r>
      <w:r w:rsidRPr="00B66ABE">
        <w:rPr>
          <w:i/>
        </w:rPr>
        <w:t>_2ndGrowth</w:t>
      </w:r>
      <w:r>
        <w:t xml:space="preserve"> raster is equal to NoData, use the grid cell value from the raster output from Step </w:t>
      </w:r>
      <w:r w:rsidR="00A34FF2">
        <w:t>7</w:t>
      </w:r>
      <w:r>
        <w:t xml:space="preserve">. Otherwise </w:t>
      </w:r>
      <w:r w:rsidR="007273D5">
        <w:t xml:space="preserve">assign a value of 2 (Upland). </w:t>
      </w:r>
      <w:r>
        <w:t xml:space="preserve"> Don’t forget to specify the snap &amp; extent raster.</w:t>
      </w:r>
    </w:p>
    <w:p w:rsidR="007853E9" w:rsidRDefault="007853E9" w:rsidP="00B87012">
      <w:pPr>
        <w:pStyle w:val="ListParagraph"/>
        <w:spacing w:after="0" w:line="240" w:lineRule="auto"/>
        <w:ind w:left="1080"/>
      </w:pPr>
    </w:p>
    <w:p w:rsidR="00673610" w:rsidRDefault="00673610" w:rsidP="00673610">
      <w:pPr>
        <w:pStyle w:val="ListParagraph"/>
        <w:numPr>
          <w:ilvl w:val="0"/>
          <w:numId w:val="1"/>
        </w:numPr>
        <w:spacing w:after="0" w:line="240" w:lineRule="auto"/>
      </w:pPr>
      <w:r>
        <w:t xml:space="preserve">Using </w:t>
      </w:r>
      <w:r w:rsidRPr="0023444A">
        <w:rPr>
          <w:b/>
          <w:i/>
        </w:rPr>
        <w:t>AKNPLCC_Saltwater</w:t>
      </w:r>
      <w:r>
        <w:t xml:space="preserve">, change all cell values in the raster output from Step </w:t>
      </w:r>
      <w:r w:rsidR="008B0716">
        <w:t>8</w:t>
      </w:r>
      <w:r>
        <w:t xml:space="preserve"> that fall below MHW to 1 (No Veg).  </w:t>
      </w:r>
    </w:p>
    <w:p w:rsidR="00673610" w:rsidRDefault="00673610" w:rsidP="00673610">
      <w:pPr>
        <w:pStyle w:val="ListParagraph"/>
        <w:numPr>
          <w:ilvl w:val="1"/>
          <w:numId w:val="1"/>
        </w:numPr>
        <w:spacing w:after="0" w:line="240" w:lineRule="auto"/>
      </w:pPr>
      <w:r>
        <w:t xml:space="preserve">Create a new field in the saltwater polygon attribute table, e.g., “covcls”.  </w:t>
      </w:r>
    </w:p>
    <w:p w:rsidR="00673610" w:rsidRDefault="00673610" w:rsidP="00673610">
      <w:pPr>
        <w:pStyle w:val="ListParagraph"/>
        <w:numPr>
          <w:ilvl w:val="2"/>
          <w:numId w:val="1"/>
        </w:numPr>
        <w:spacing w:after="0" w:line="240" w:lineRule="auto"/>
      </w:pPr>
      <w:r>
        <w:t xml:space="preserve">Code </w:t>
      </w:r>
      <w:r w:rsidRPr="0072467B">
        <w:rPr>
          <w:i/>
        </w:rPr>
        <w:t>covcls</w:t>
      </w:r>
      <w:r>
        <w:t xml:space="preserve"> = 1 for the saltwater polygon.</w:t>
      </w:r>
    </w:p>
    <w:p w:rsidR="00673610" w:rsidRDefault="00673610" w:rsidP="00673610">
      <w:pPr>
        <w:pStyle w:val="ListParagraph"/>
        <w:numPr>
          <w:ilvl w:val="1"/>
          <w:numId w:val="1"/>
        </w:numPr>
        <w:spacing w:after="0" w:line="240" w:lineRule="auto"/>
      </w:pPr>
      <w:r>
        <w:t xml:space="preserve">Convert the </w:t>
      </w:r>
      <w:r w:rsidRPr="00A17666">
        <w:rPr>
          <w:i/>
        </w:rPr>
        <w:t>AKNPLCC_Saltwater</w:t>
      </w:r>
      <w:r>
        <w:t xml:space="preserve"> polygon feature class to a raster. Choose the </w:t>
      </w:r>
      <w:r w:rsidRPr="0072467B">
        <w:rPr>
          <w:i/>
        </w:rPr>
        <w:t>covcls</w:t>
      </w:r>
      <w:r>
        <w:t xml:space="preserve"> field to assign cell values to the output raster. Set the cell size to 30m. Specify the reclassed raster from Step </w:t>
      </w:r>
      <w:r w:rsidR="008B0716">
        <w:t>8</w:t>
      </w:r>
      <w:r>
        <w:t xml:space="preserve"> (or either of the re-projected NLCD rasters) as the </w:t>
      </w:r>
      <w:r w:rsidRPr="008B0716">
        <w:t>snap and extent</w:t>
      </w:r>
      <w:r>
        <w:t xml:space="preserve"> raster. Use Nearest Neighbor for resample method. All areas outside the saltwater polygon will be assigned a NoData value. </w:t>
      </w:r>
    </w:p>
    <w:p w:rsidR="00673610" w:rsidRPr="001335E6" w:rsidRDefault="00673610" w:rsidP="00673610">
      <w:pPr>
        <w:pStyle w:val="ListParagraph"/>
        <w:numPr>
          <w:ilvl w:val="1"/>
          <w:numId w:val="1"/>
        </w:numPr>
        <w:spacing w:after="0" w:line="240" w:lineRule="auto"/>
        <w:rPr>
          <w:i/>
        </w:rPr>
      </w:pPr>
      <w:r w:rsidRPr="00D726CE">
        <w:t xml:space="preserve">Use the Raster Calculator to </w:t>
      </w:r>
      <w:r>
        <w:t>enter</w:t>
      </w:r>
      <w:r w:rsidRPr="00D726CE">
        <w:t xml:space="preserve"> an expression t</w:t>
      </w:r>
      <w:r>
        <w:t>hat will</w:t>
      </w:r>
      <w:r w:rsidRPr="00D726CE">
        <w:t xml:space="preserve"> create a new raster where all the cells</w:t>
      </w:r>
      <w:r>
        <w:t xml:space="preserve"> in the raster output in Step </w:t>
      </w:r>
      <w:r w:rsidR="008B0716">
        <w:t>8</w:t>
      </w:r>
      <w:r>
        <w:t xml:space="preserve"> coincident with saltwater will have a value=1 (i.e., No Veg).</w:t>
      </w:r>
      <w:r>
        <w:br/>
      </w:r>
      <w:r w:rsidRPr="001335E6">
        <w:rPr>
          <w:i/>
        </w:rPr>
        <w:t>Con(IsNull(</w:t>
      </w:r>
      <w:r>
        <w:rPr>
          <w:i/>
        </w:rPr>
        <w:t>NameOf</w:t>
      </w:r>
      <w:r w:rsidRPr="001335E6">
        <w:rPr>
          <w:i/>
        </w:rPr>
        <w:t xml:space="preserve">SaltwaterRaster), </w:t>
      </w:r>
      <w:r>
        <w:rPr>
          <w:i/>
        </w:rPr>
        <w:t>NameOf</w:t>
      </w:r>
      <w:r w:rsidRPr="001335E6">
        <w:rPr>
          <w:i/>
        </w:rPr>
        <w:t>RasterFromStep</w:t>
      </w:r>
      <w:r w:rsidR="008B0716">
        <w:rPr>
          <w:i/>
        </w:rPr>
        <w:t>8</w:t>
      </w:r>
      <w:r w:rsidRPr="001335E6">
        <w:rPr>
          <w:i/>
        </w:rPr>
        <w:t xml:space="preserve">, </w:t>
      </w:r>
      <w:r>
        <w:rPr>
          <w:i/>
        </w:rPr>
        <w:t>1</w:t>
      </w:r>
      <w:r w:rsidRPr="001335E6">
        <w:rPr>
          <w:i/>
        </w:rPr>
        <w:t>)</w:t>
      </w:r>
    </w:p>
    <w:p w:rsidR="00673610" w:rsidRDefault="00673610" w:rsidP="00673610">
      <w:pPr>
        <w:pStyle w:val="ListParagraph"/>
        <w:spacing w:after="0" w:line="240" w:lineRule="auto"/>
        <w:ind w:left="1080"/>
      </w:pPr>
      <w:r>
        <w:t xml:space="preserve">That is, where the saltwater raster is equal to NoData, use the grid cell value from the raster output from Step </w:t>
      </w:r>
      <w:r w:rsidR="008B0716">
        <w:t>8</w:t>
      </w:r>
      <w:r>
        <w:t>. Otherwise assign a grid cell value of 1. Don’t forget to specify the snap &amp; extent raster.</w:t>
      </w:r>
    </w:p>
    <w:p w:rsidR="00673610" w:rsidRDefault="00673610" w:rsidP="00673610">
      <w:pPr>
        <w:spacing w:after="0" w:line="240" w:lineRule="auto"/>
      </w:pPr>
    </w:p>
    <w:p w:rsidR="00EE4D22" w:rsidRDefault="00EE4D22" w:rsidP="00EE4D22">
      <w:pPr>
        <w:spacing w:after="0" w:line="240" w:lineRule="auto"/>
      </w:pPr>
    </w:p>
    <w:p w:rsidR="00E36EE2" w:rsidRDefault="00E36EE2" w:rsidP="00761904">
      <w:pPr>
        <w:spacing w:after="0" w:line="240" w:lineRule="auto"/>
        <w:ind w:left="720"/>
        <w:rPr>
          <w:i/>
        </w:rPr>
      </w:pPr>
    </w:p>
    <w:p w:rsidR="00F70905" w:rsidRPr="007853E9" w:rsidRDefault="007853E9" w:rsidP="007853E9">
      <w:pPr>
        <w:spacing w:after="0" w:line="240" w:lineRule="auto"/>
        <w:jc w:val="both"/>
        <w:rPr>
          <w:i/>
          <w:u w:val="single"/>
        </w:rPr>
      </w:pPr>
      <w:r>
        <w:rPr>
          <w:b/>
          <w:u w:val="single"/>
        </w:rPr>
        <w:t>Issues</w:t>
      </w:r>
      <w:r w:rsidR="00276A59">
        <w:rPr>
          <w:b/>
          <w:u w:val="single"/>
        </w:rPr>
        <w:t xml:space="preserve"> and Additional Information</w:t>
      </w:r>
    </w:p>
    <w:p w:rsidR="00F70905" w:rsidRDefault="00F70905" w:rsidP="00801177">
      <w:pPr>
        <w:pStyle w:val="ListParagraph"/>
        <w:numPr>
          <w:ilvl w:val="0"/>
          <w:numId w:val="3"/>
        </w:numPr>
        <w:spacing w:after="0" w:line="240" w:lineRule="auto"/>
      </w:pPr>
      <w:r>
        <w:t>The polygons in TNFCoverType are shifted</w:t>
      </w:r>
      <w:r w:rsidR="00175CBA">
        <w:t xml:space="preserve"> about 50 to </w:t>
      </w:r>
      <w:r w:rsidR="001F573C">
        <w:t>12</w:t>
      </w:r>
      <w:r w:rsidR="00175CBA">
        <w:t>5 meters</w:t>
      </w:r>
      <w:r>
        <w:t xml:space="preserve"> on the landscape </w:t>
      </w:r>
      <w:r w:rsidR="00175CBA">
        <w:t xml:space="preserve">from where they should be </w:t>
      </w:r>
      <w:r>
        <w:t>when compared with current high resolution orthophotos</w:t>
      </w:r>
      <w:r w:rsidR="001F573C">
        <w:t xml:space="preserve"> and other GIS layers</w:t>
      </w:r>
      <w:r w:rsidR="00175CBA">
        <w:t>.</w:t>
      </w:r>
      <w:r w:rsidR="00276A59">
        <w:t xml:space="preserve"> Some of the second-growth polygons, especially those originating from </w:t>
      </w:r>
      <w:r w:rsidR="00276A59" w:rsidRPr="004668F7">
        <w:rPr>
          <w:i/>
        </w:rPr>
        <w:t>NonNFS_Past_Harvest_10_2007</w:t>
      </w:r>
      <w:r w:rsidR="00276A59">
        <w:t xml:space="preserve"> are quite shifted as well.</w:t>
      </w:r>
      <w:r w:rsidR="00235E89">
        <w:t xml:space="preserve">  U</w:t>
      </w:r>
      <w:r w:rsidR="001F573C">
        <w:t>sing ancillary data layers to inform the NLCD that are not well vertically integrated with the NLCD</w:t>
      </w:r>
      <w:r w:rsidR="00235E89">
        <w:t xml:space="preserve"> will result</w:t>
      </w:r>
      <w:r w:rsidR="00E86C4E">
        <w:t xml:space="preserve"> in incorrect classifications in areas where the ancillary datasets are </w:t>
      </w:r>
      <w:proofErr w:type="spellStart"/>
      <w:r w:rsidR="00E86C4E">
        <w:t>mis</w:t>
      </w:r>
      <w:proofErr w:type="spellEnd"/>
      <w:r w:rsidR="00E86C4E">
        <w:t>-aligned.</w:t>
      </w:r>
    </w:p>
    <w:p w:rsidR="00AE4A12" w:rsidRDefault="00AE4A12" w:rsidP="00AE4A12">
      <w:pPr>
        <w:spacing w:after="0" w:line="240" w:lineRule="auto"/>
      </w:pPr>
    </w:p>
    <w:p w:rsidR="00175EB0" w:rsidRDefault="00175EB0" w:rsidP="00801177">
      <w:pPr>
        <w:pStyle w:val="ListParagraph"/>
        <w:numPr>
          <w:ilvl w:val="0"/>
          <w:numId w:val="3"/>
        </w:numPr>
        <w:spacing w:after="0" w:line="240" w:lineRule="auto"/>
      </w:pPr>
      <w:r>
        <w:t xml:space="preserve">The TNFCoverType map covers land under TNF ownership, and some lands under other ownership.  Glacier Bay National Park (GLBA) and Northwest Lynn Canal are not included. It would be useful if we could identify an ancillary veg layer to help separate out the “Other Veg” class (see Step </w:t>
      </w:r>
      <w:r w:rsidR="008E4BF4">
        <w:t>7</w:t>
      </w:r>
      <w:r>
        <w:t>)</w:t>
      </w:r>
      <w:r w:rsidR="007853E9">
        <w:t xml:space="preserve"> and to distinguish between forested wetland, fen, rock, </w:t>
      </w:r>
      <w:r w:rsidR="001F573C">
        <w:t xml:space="preserve">alder, brush, </w:t>
      </w:r>
      <w:r w:rsidR="007853E9">
        <w:t>and alpine</w:t>
      </w:r>
      <w:r>
        <w:t xml:space="preserve"> for these areas.  </w:t>
      </w:r>
      <w:r w:rsidR="001F573C">
        <w:t>A</w:t>
      </w:r>
      <w:r>
        <w:t xml:space="preserve"> 2007 </w:t>
      </w:r>
      <w:r w:rsidR="007853E9">
        <w:t xml:space="preserve">GIS data set of </w:t>
      </w:r>
      <w:r>
        <w:t>cover type for GLBA. The classification is quite detailed, but this may be a useful laye</w:t>
      </w:r>
      <w:r w:rsidR="007853E9">
        <w:t xml:space="preserve">r for identifying “Other Veg.” </w:t>
      </w:r>
      <w:r>
        <w:t>Does the State of Alaska have a cover type data set we could use for NW Lynn Canal?</w:t>
      </w:r>
    </w:p>
    <w:p w:rsidR="00AE4A12" w:rsidRDefault="00AE4A12" w:rsidP="00AE4A12">
      <w:pPr>
        <w:pStyle w:val="ListParagraph"/>
      </w:pPr>
    </w:p>
    <w:p w:rsidR="00EE226D" w:rsidRDefault="00EE226D" w:rsidP="00801177">
      <w:pPr>
        <w:pStyle w:val="ListParagraph"/>
        <w:numPr>
          <w:ilvl w:val="0"/>
          <w:numId w:val="3"/>
        </w:numPr>
        <w:spacing w:after="0" w:line="240" w:lineRule="auto"/>
      </w:pPr>
      <w:r>
        <w:t>From Glacier Bay north and west, along the Yakutat forelands and including SCAK, large areas of mixed and deciduous forest</w:t>
      </w:r>
      <w:r w:rsidR="00393CC1">
        <w:t xml:space="preserve"> exist</w:t>
      </w:r>
      <w:r>
        <w:t xml:space="preserve"> (spruce/black cottonwood, tall alder</w:t>
      </w:r>
      <w:r w:rsidR="00393CC1">
        <w:t xml:space="preserve">, willow) that are quite different from the typical upland and forested wetlands in SEAK. </w:t>
      </w:r>
    </w:p>
    <w:p w:rsidR="00AE4A12" w:rsidRDefault="00AE4A12" w:rsidP="00AE4A12">
      <w:pPr>
        <w:pStyle w:val="ListParagraph"/>
      </w:pPr>
    </w:p>
    <w:p w:rsidR="00A85765" w:rsidRDefault="00EE1F8C" w:rsidP="00EE1F8C">
      <w:pPr>
        <w:pStyle w:val="ListParagraph"/>
        <w:numPr>
          <w:ilvl w:val="0"/>
          <w:numId w:val="3"/>
        </w:numPr>
        <w:spacing w:after="0" w:line="240" w:lineRule="auto"/>
      </w:pPr>
      <w:r>
        <w:rPr>
          <w:i/>
        </w:rPr>
        <w:t>AKNPLCC</w:t>
      </w:r>
      <w:r w:rsidR="00B66ABE" w:rsidRPr="00B66ABE">
        <w:rPr>
          <w:i/>
        </w:rPr>
        <w:t xml:space="preserve">_2ndGrowth </w:t>
      </w:r>
      <w:r w:rsidR="00B66ABE">
        <w:t xml:space="preserve">is a combination of GIS data from </w:t>
      </w:r>
      <w:r>
        <w:t>4</w:t>
      </w:r>
      <w:r w:rsidR="00B66ABE">
        <w:t xml:space="preserve"> different sources</w:t>
      </w:r>
      <w:r w:rsidR="004668F7">
        <w:t xml:space="preserve">: 1) The USFS TNF’s </w:t>
      </w:r>
      <w:r w:rsidR="004668F7" w:rsidRPr="004668F7">
        <w:rPr>
          <w:i/>
        </w:rPr>
        <w:t>Activities_Polygon</w:t>
      </w:r>
      <w:r w:rsidR="004668F7">
        <w:t xml:space="preserve"> layer</w:t>
      </w:r>
      <w:r>
        <w:t xml:space="preserve">, </w:t>
      </w:r>
      <w:r w:rsidR="004668F7">
        <w:t xml:space="preserve"> </w:t>
      </w:r>
      <w:r>
        <w:t xml:space="preserve">2) </w:t>
      </w:r>
      <w:r w:rsidR="004668F7">
        <w:t xml:space="preserve">The Nature Conservancy’s </w:t>
      </w:r>
      <w:r w:rsidR="004668F7" w:rsidRPr="004668F7">
        <w:rPr>
          <w:i/>
        </w:rPr>
        <w:t>NonNFS_Past_Harvest_10_2007</w:t>
      </w:r>
      <w:r w:rsidR="004668F7">
        <w:t xml:space="preserve"> GIS layer</w:t>
      </w:r>
      <w:r>
        <w:t xml:space="preserve">, 3) three GIS layers obtained from the State of Alaska, </w:t>
      </w:r>
      <w:r w:rsidRPr="00EE1F8C">
        <w:rPr>
          <w:i/>
        </w:rPr>
        <w:t>Icy_Bay_Poly_1_15_14_Final_draft</w:t>
      </w:r>
      <w:r>
        <w:t xml:space="preserve"> (Yakataga-to-Icy Bay harvests), </w:t>
      </w:r>
      <w:r w:rsidRPr="00EE1F8C">
        <w:t>TotalForOracle_20140131</w:t>
      </w:r>
      <w:r>
        <w:t xml:space="preserve"> (SEAK harvests), and </w:t>
      </w:r>
      <w:r w:rsidRPr="00EE1F8C">
        <w:rPr>
          <w:i/>
        </w:rPr>
        <w:t>SOA_harv</w:t>
      </w:r>
      <w:r>
        <w:t xml:space="preserve"> (Haines State Forest harvests), and 4) screen digitizing from high resolution orthophotos of some harvests not included in the previously listed sources</w:t>
      </w:r>
      <w:r w:rsidR="00A85765">
        <w:t xml:space="preserve">. </w:t>
      </w:r>
      <w:r>
        <w:t xml:space="preserve">In addition, </w:t>
      </w:r>
      <w:r w:rsidR="00E9641F">
        <w:t xml:space="preserve">editing was applied to the first three sources using high resolution orthophotos to improve some of the boundary delineations.  </w:t>
      </w:r>
      <w:r w:rsidR="004668F7" w:rsidRPr="004668F7">
        <w:rPr>
          <w:i/>
        </w:rPr>
        <w:t>Activities_Polygon</w:t>
      </w:r>
      <w:r w:rsidR="004668F7">
        <w:t xml:space="preserve"> contains logging up through mid-2013 and also maps some logged areas outside TNF boundaries. </w:t>
      </w:r>
      <w:r w:rsidR="007853E9">
        <w:t xml:space="preserve"> </w:t>
      </w:r>
      <w:r w:rsidR="004668F7" w:rsidRPr="004668F7">
        <w:rPr>
          <w:i/>
        </w:rPr>
        <w:t>NonNFS_Past_Harvest_10_2007</w:t>
      </w:r>
      <w:r w:rsidR="004668F7">
        <w:rPr>
          <w:i/>
        </w:rPr>
        <w:t xml:space="preserve"> </w:t>
      </w:r>
      <w:r w:rsidR="004668F7">
        <w:t xml:space="preserve">contains areas logged outside TNF boundaries up to 2007. </w:t>
      </w:r>
      <w:r w:rsidR="00146303">
        <w:t xml:space="preserve">Second-growth stands due to logging account for </w:t>
      </w:r>
      <w:r w:rsidR="008E4BF4">
        <w:t>about 3.</w:t>
      </w:r>
      <w:r>
        <w:t>8</w:t>
      </w:r>
      <w:r w:rsidR="00146303">
        <w:t xml:space="preserve">% of the SEAK landscape. </w:t>
      </w:r>
      <w:r w:rsidR="00200AED">
        <w:t xml:space="preserve">Looking at orthophotos across SEAK shows logged areas of varying ages that have not been captured </w:t>
      </w:r>
      <w:r w:rsidR="00200AED" w:rsidRPr="00146303">
        <w:t xml:space="preserve">in </w:t>
      </w:r>
      <w:r w:rsidR="00E9641F">
        <w:t>any</w:t>
      </w:r>
      <w:r w:rsidR="00200AED" w:rsidRPr="00146303">
        <w:t xml:space="preserve"> of the harvest layers.</w:t>
      </w:r>
      <w:r w:rsidR="00200AED">
        <w:t xml:space="preserve"> </w:t>
      </w:r>
      <w:r w:rsidR="00146303">
        <w:t xml:space="preserve">However, </w:t>
      </w:r>
      <w:r w:rsidR="00F01330">
        <w:t xml:space="preserve">the amount of harvest not mapped is </w:t>
      </w:r>
      <w:r w:rsidR="00E9641F">
        <w:t>relatively</w:t>
      </w:r>
      <w:r w:rsidR="00F01330">
        <w:t xml:space="preserve"> small and would likely have </w:t>
      </w:r>
      <w:r w:rsidR="00AE4A12">
        <w:t xml:space="preserve">little effect on the modelling. </w:t>
      </w:r>
    </w:p>
    <w:p w:rsidR="00E9641F" w:rsidRDefault="00E9641F" w:rsidP="00276A59">
      <w:pPr>
        <w:spacing w:after="0" w:line="240" w:lineRule="auto"/>
        <w:ind w:left="360"/>
      </w:pPr>
    </w:p>
    <w:p w:rsidR="00F01330" w:rsidRDefault="001D4A03" w:rsidP="00276A59">
      <w:pPr>
        <w:spacing w:after="0" w:line="240" w:lineRule="auto"/>
        <w:ind w:left="360"/>
      </w:pPr>
      <w:r>
        <w:t xml:space="preserve">Of the 79955 ha of second-growth in </w:t>
      </w:r>
      <w:r w:rsidRPr="00276A59">
        <w:rPr>
          <w:i/>
        </w:rPr>
        <w:t>NonNFS_Past_Harvest_10_2007</w:t>
      </w:r>
      <w:r>
        <w:t xml:space="preserve">, only 50% of the area contained a stand age (year harvested). 37% had no stand age information at all. 12% had a stand age descriptor of either small </w:t>
      </w:r>
      <w:r w:rsidR="00200AED">
        <w:t>saw timber</w:t>
      </w:r>
      <w:r>
        <w:t>, sapling, recent, old, new, or &lt;1980. For these polygons, stand ages were assigned the following values:</w:t>
      </w:r>
    </w:p>
    <w:p w:rsidR="001D4A03" w:rsidRDefault="001D4A03" w:rsidP="00F01330">
      <w:pPr>
        <w:spacing w:after="0" w:line="240" w:lineRule="auto"/>
      </w:pPr>
      <w:r>
        <w:tab/>
        <w:t>New or recent = 2000</w:t>
      </w:r>
    </w:p>
    <w:p w:rsidR="001D4A03" w:rsidRDefault="001D4A03" w:rsidP="00F01330">
      <w:pPr>
        <w:spacing w:after="0" w:line="240" w:lineRule="auto"/>
      </w:pPr>
      <w:r>
        <w:tab/>
        <w:t>Old = 1975</w:t>
      </w:r>
    </w:p>
    <w:p w:rsidR="001D4A03" w:rsidRDefault="001D4A03" w:rsidP="00F01330">
      <w:pPr>
        <w:spacing w:after="0" w:line="240" w:lineRule="auto"/>
      </w:pPr>
      <w:r>
        <w:tab/>
        <w:t>&lt;1980 = 1975</w:t>
      </w:r>
    </w:p>
    <w:p w:rsidR="001D4A03" w:rsidRDefault="001D4A03" w:rsidP="00F01330">
      <w:pPr>
        <w:spacing w:after="0" w:line="240" w:lineRule="auto"/>
      </w:pPr>
      <w:r>
        <w:tab/>
        <w:t>Sapling = 1985</w:t>
      </w:r>
    </w:p>
    <w:p w:rsidR="001D4A03" w:rsidRDefault="001D4A03" w:rsidP="00F01330">
      <w:pPr>
        <w:spacing w:after="0" w:line="240" w:lineRule="auto"/>
      </w:pPr>
      <w:r>
        <w:tab/>
        <w:t xml:space="preserve">Small </w:t>
      </w:r>
      <w:r w:rsidR="00200AED">
        <w:t>saw timber</w:t>
      </w:r>
      <w:r>
        <w:t xml:space="preserve"> = 1970</w:t>
      </w:r>
    </w:p>
    <w:p w:rsidR="001D4A03" w:rsidRPr="001D4A03" w:rsidRDefault="001D4A03" w:rsidP="00276A59">
      <w:pPr>
        <w:spacing w:after="0" w:line="240" w:lineRule="auto"/>
        <w:ind w:left="360"/>
      </w:pPr>
      <w:r>
        <w:t xml:space="preserve">In the </w:t>
      </w:r>
      <w:proofErr w:type="spellStart"/>
      <w:r w:rsidRPr="008E4BF4">
        <w:rPr>
          <w:i/>
        </w:rPr>
        <w:t>Activities_polygon</w:t>
      </w:r>
      <w:proofErr w:type="spellEnd"/>
      <w:r>
        <w:t xml:space="preserve"> layer about 7.5% of the harvested area had no age information.  After the </w:t>
      </w:r>
      <w:proofErr w:type="spellStart"/>
      <w:r w:rsidRPr="001D4A03">
        <w:rPr>
          <w:i/>
        </w:rPr>
        <w:t>Activities_polygon</w:t>
      </w:r>
      <w:proofErr w:type="spellEnd"/>
      <w:r>
        <w:t xml:space="preserve"> and </w:t>
      </w:r>
      <w:proofErr w:type="spellStart"/>
      <w:r w:rsidRPr="001D4A03">
        <w:rPr>
          <w:i/>
        </w:rPr>
        <w:t>NonNFS_Past</w:t>
      </w:r>
      <w:r w:rsidR="00752CAF">
        <w:rPr>
          <w:i/>
        </w:rPr>
        <w:t>_Harvest</w:t>
      </w:r>
      <w:proofErr w:type="spellEnd"/>
      <w:r w:rsidR="00752CAF">
        <w:rPr>
          <w:i/>
        </w:rPr>
        <w:t xml:space="preserve"> </w:t>
      </w:r>
      <w:r w:rsidR="00752CAF">
        <w:t xml:space="preserve"> layers were combined, t</w:t>
      </w:r>
      <w:r>
        <w:t xml:space="preserve">he polygons </w:t>
      </w:r>
      <w:r w:rsidR="00752CAF">
        <w:t>having</w:t>
      </w:r>
      <w:r>
        <w:t xml:space="preserve"> no age attribute were assigned the average value of all the existing stand ages (1984).</w:t>
      </w:r>
    </w:p>
    <w:p w:rsidR="00146303" w:rsidRDefault="00146303" w:rsidP="00146303">
      <w:pPr>
        <w:spacing w:after="0" w:line="240" w:lineRule="auto"/>
      </w:pPr>
    </w:p>
    <w:p w:rsidR="00146303" w:rsidRDefault="00146303" w:rsidP="00276A59">
      <w:pPr>
        <w:spacing w:after="0" w:line="240" w:lineRule="auto"/>
        <w:ind w:left="360"/>
      </w:pPr>
      <w:r>
        <w:t xml:space="preserve">Large-scale natural disturbance to vegetation in SEAK is largely limited to </w:t>
      </w:r>
      <w:proofErr w:type="spellStart"/>
      <w:r>
        <w:t>windthrow</w:t>
      </w:r>
      <w:proofErr w:type="spellEnd"/>
      <w:r>
        <w:t xml:space="preserve"> events. The TNFCoverType layer contains about 2,385 hectares of mapped </w:t>
      </w:r>
      <w:proofErr w:type="spellStart"/>
      <w:r>
        <w:t>windthrow</w:t>
      </w:r>
      <w:proofErr w:type="spellEnd"/>
      <w:r>
        <w:t xml:space="preserve"> stands. Because </w:t>
      </w:r>
      <w:r w:rsidR="000127D4">
        <w:t xml:space="preserve">1) </w:t>
      </w:r>
      <w:r>
        <w:t xml:space="preserve">this is such a small </w:t>
      </w:r>
      <w:r w:rsidR="00F01330">
        <w:t>portion</w:t>
      </w:r>
      <w:r>
        <w:t xml:space="preserve"> of the SEAK landscape, </w:t>
      </w:r>
      <w:r w:rsidR="000127D4">
        <w:t xml:space="preserve">2) </w:t>
      </w:r>
      <w:r>
        <w:t xml:space="preserve">the </w:t>
      </w:r>
      <w:proofErr w:type="spellStart"/>
      <w:r>
        <w:t>windthrow</w:t>
      </w:r>
      <w:proofErr w:type="spellEnd"/>
      <w:r>
        <w:t xml:space="preserve"> only appears to </w:t>
      </w:r>
      <w:r w:rsidR="00AE4A12">
        <w:t>have been</w:t>
      </w:r>
      <w:r>
        <w:t xml:space="preserve"> mapped in the south half of SEAK, and </w:t>
      </w:r>
      <w:r w:rsidR="000127D4">
        <w:t xml:space="preserve">3) </w:t>
      </w:r>
      <w:r>
        <w:t xml:space="preserve">stand ages were not available for </w:t>
      </w:r>
      <w:proofErr w:type="spellStart"/>
      <w:r>
        <w:t>windthrow</w:t>
      </w:r>
      <w:proofErr w:type="spellEnd"/>
      <w:r>
        <w:t>, we did not include natural disturbance in the SEAK_2ndGrowth layer.</w:t>
      </w:r>
    </w:p>
    <w:p w:rsidR="00E95987" w:rsidRDefault="00E95987" w:rsidP="00276A59">
      <w:pPr>
        <w:spacing w:after="0" w:line="240" w:lineRule="auto"/>
        <w:ind w:left="360"/>
      </w:pPr>
    </w:p>
    <w:p w:rsidR="00E95987" w:rsidRDefault="00E95987" w:rsidP="00276A59">
      <w:pPr>
        <w:spacing w:after="0" w:line="240" w:lineRule="auto"/>
        <w:ind w:left="360"/>
      </w:pPr>
      <w:r>
        <w:t xml:space="preserve">Second-growth stands are </w:t>
      </w:r>
      <w:r w:rsidR="004C08FE">
        <w:t>often</w:t>
      </w:r>
      <w:r>
        <w:t xml:space="preserve"> represented </w:t>
      </w:r>
      <w:r w:rsidR="004C08FE">
        <w:t>in</w:t>
      </w:r>
      <w:r>
        <w:t xml:space="preserve"> the NLCD </w:t>
      </w:r>
      <w:r w:rsidR="004C08FE">
        <w:t xml:space="preserve">in the </w:t>
      </w:r>
      <w:r>
        <w:t xml:space="preserve">“shrub/scrub” class.  </w:t>
      </w:r>
      <w:r w:rsidR="004C08FE">
        <w:t>Therefore, t</w:t>
      </w:r>
      <w:r>
        <w:t xml:space="preserve">he majority of the </w:t>
      </w:r>
      <w:r w:rsidRPr="004C08FE">
        <w:rPr>
          <w:i/>
        </w:rPr>
        <w:t>unmapped</w:t>
      </w:r>
      <w:r>
        <w:t xml:space="preserve"> second-growth stands will end up in the forested wetland or fen LandCarbon </w:t>
      </w:r>
      <w:r w:rsidR="006F0701">
        <w:t>cover types</w:t>
      </w:r>
      <w:r>
        <w:t>.</w:t>
      </w:r>
      <w:r w:rsidR="004C08FE">
        <w:t xml:space="preserve">  </w:t>
      </w:r>
    </w:p>
    <w:p w:rsidR="00712004" w:rsidRDefault="00712004" w:rsidP="00712004">
      <w:pPr>
        <w:pStyle w:val="ListParagraph"/>
        <w:spacing w:after="0" w:line="240" w:lineRule="auto"/>
        <w:ind w:left="360"/>
        <w:rPr>
          <w:i/>
        </w:rPr>
      </w:pPr>
    </w:p>
    <w:p w:rsidR="00175EB0" w:rsidRDefault="00175EB0" w:rsidP="00801177">
      <w:pPr>
        <w:pStyle w:val="ListParagraph"/>
        <w:numPr>
          <w:ilvl w:val="0"/>
          <w:numId w:val="3"/>
        </w:numPr>
        <w:spacing w:after="0" w:line="240" w:lineRule="auto"/>
      </w:pPr>
      <w:r>
        <w:t>Using NLCD for the Upland-FW-Fen-</w:t>
      </w:r>
      <w:proofErr w:type="spellStart"/>
      <w:r>
        <w:t>OtherVeg</w:t>
      </w:r>
      <w:proofErr w:type="spellEnd"/>
      <w:r>
        <w:t xml:space="preserve"> classification may not work as well in the Yakutat area</w:t>
      </w:r>
      <w:r w:rsidR="000127D4">
        <w:t xml:space="preserve"> in SEAK</w:t>
      </w:r>
      <w:r w:rsidR="001E023C">
        <w:t xml:space="preserve"> or in SCAK</w:t>
      </w:r>
      <w:r>
        <w:t>.</w:t>
      </w:r>
    </w:p>
    <w:p w:rsidR="00366730" w:rsidRDefault="00366730" w:rsidP="00366730">
      <w:pPr>
        <w:spacing w:after="0" w:line="240" w:lineRule="auto"/>
      </w:pPr>
    </w:p>
    <w:p w:rsidR="00366730" w:rsidRDefault="00366730" w:rsidP="00366730">
      <w:pPr>
        <w:pStyle w:val="ListParagraph"/>
        <w:numPr>
          <w:ilvl w:val="0"/>
          <w:numId w:val="3"/>
        </w:numPr>
        <w:spacing w:after="0" w:line="240" w:lineRule="auto"/>
      </w:pPr>
      <w:r>
        <w:t>Additional land cover GIS datasets exist for smaller areas within the AK NPLCC</w:t>
      </w:r>
      <w:r w:rsidR="008538CF">
        <w:t>.  If later model refinements are needed, these could be used to help inform the NLCD classifications:</w:t>
      </w:r>
    </w:p>
    <w:p w:rsidR="008538CF" w:rsidRDefault="008538CF" w:rsidP="008538CF">
      <w:pPr>
        <w:pStyle w:val="ListParagraph"/>
      </w:pPr>
    </w:p>
    <w:p w:rsidR="008538CF" w:rsidRDefault="008538CF" w:rsidP="008538CF">
      <w:pPr>
        <w:pStyle w:val="ListParagraph"/>
        <w:numPr>
          <w:ilvl w:val="1"/>
          <w:numId w:val="3"/>
        </w:numPr>
        <w:spacing w:after="0" w:line="240" w:lineRule="auto"/>
      </w:pPr>
      <w:r>
        <w:t>Copper River Delta map of existing vegetation, produced in 2013, USDA, Forest Service</w:t>
      </w:r>
    </w:p>
    <w:p w:rsidR="008538CF" w:rsidRDefault="008538CF" w:rsidP="008538CF">
      <w:pPr>
        <w:pStyle w:val="ListParagraph"/>
        <w:numPr>
          <w:ilvl w:val="1"/>
          <w:numId w:val="3"/>
        </w:numPr>
        <w:spacing w:after="0" w:line="240" w:lineRule="auto"/>
      </w:pPr>
      <w:r>
        <w:t>Chugach National Forest Cover Type map</w:t>
      </w:r>
      <w:r w:rsidR="00EB29FD">
        <w:t>, interpreted from 1950’s – 1970’s air photos</w:t>
      </w:r>
    </w:p>
    <w:p w:rsidR="008538CF" w:rsidRDefault="008538CF" w:rsidP="008538CF">
      <w:pPr>
        <w:pStyle w:val="ListParagraph"/>
        <w:numPr>
          <w:ilvl w:val="1"/>
          <w:numId w:val="3"/>
        </w:numPr>
        <w:spacing w:after="0" w:line="240" w:lineRule="auto"/>
      </w:pPr>
      <w:r>
        <w:t>Glacier Bay National Park 2007 Land Cover map</w:t>
      </w:r>
    </w:p>
    <w:p w:rsidR="001E023C" w:rsidRDefault="001E023C" w:rsidP="001E023C">
      <w:pPr>
        <w:spacing w:after="0" w:line="240" w:lineRule="auto"/>
        <w:ind w:left="720"/>
      </w:pPr>
    </w:p>
    <w:p w:rsidR="00EB29FD" w:rsidRPr="001E023C" w:rsidRDefault="00EB29FD" w:rsidP="00EB29FD">
      <w:pPr>
        <w:pStyle w:val="ListParagraph"/>
        <w:numPr>
          <w:ilvl w:val="0"/>
          <w:numId w:val="3"/>
        </w:numPr>
        <w:spacing w:after="0" w:line="240" w:lineRule="auto"/>
        <w:rPr>
          <w:rStyle w:val="st1"/>
        </w:rPr>
      </w:pPr>
      <w:r w:rsidRPr="00791F72">
        <w:t xml:space="preserve">We also considered two land cover datasets with continuous coverage across the AK NPLCC: </w:t>
      </w:r>
      <w:r w:rsidRPr="00791F72">
        <w:rPr>
          <w:rStyle w:val="st1"/>
          <w:rFonts w:cs="Arial"/>
          <w:color w:val="444444"/>
          <w:lang w:val="en"/>
        </w:rPr>
        <w:t xml:space="preserve">The North American </w:t>
      </w:r>
      <w:r w:rsidRPr="00791F72">
        <w:rPr>
          <w:rStyle w:val="Emphasis"/>
          <w:rFonts w:cs="Arial"/>
          <w:color w:val="444444"/>
          <w:lang w:val="en"/>
        </w:rPr>
        <w:t>Land</w:t>
      </w:r>
      <w:r w:rsidRPr="00791F72">
        <w:rPr>
          <w:rStyle w:val="st1"/>
          <w:rFonts w:cs="Arial"/>
          <w:color w:val="444444"/>
          <w:lang w:val="en"/>
        </w:rPr>
        <w:t xml:space="preserve"> Change Monitoring System (</w:t>
      </w:r>
      <w:r w:rsidRPr="00791F72">
        <w:rPr>
          <w:rStyle w:val="Emphasis"/>
          <w:rFonts w:cs="Arial"/>
          <w:color w:val="444444"/>
          <w:lang w:val="en"/>
        </w:rPr>
        <w:t>NALCMS</w:t>
      </w:r>
      <w:r w:rsidR="00791F72" w:rsidRPr="00791F72">
        <w:rPr>
          <w:rStyle w:val="Emphasis"/>
          <w:rFonts w:cs="Arial"/>
          <w:color w:val="444444"/>
          <w:lang w:val="en"/>
        </w:rPr>
        <w:t>, 250 meter resolution</w:t>
      </w:r>
      <w:r w:rsidRPr="00791F72">
        <w:rPr>
          <w:rStyle w:val="st1"/>
          <w:rFonts w:cs="Arial"/>
          <w:color w:val="444444"/>
          <w:lang w:val="en"/>
        </w:rPr>
        <w:t>) and the L</w:t>
      </w:r>
      <w:r w:rsidR="00791F72" w:rsidRPr="00791F72">
        <w:rPr>
          <w:rStyle w:val="st1"/>
          <w:rFonts w:cs="Arial"/>
          <w:color w:val="444444"/>
          <w:lang w:val="en"/>
        </w:rPr>
        <w:t>ANDFIRE (30-meter)</w:t>
      </w:r>
      <w:r w:rsidRPr="00791F72">
        <w:rPr>
          <w:rStyle w:val="st1"/>
          <w:rFonts w:cs="Arial"/>
          <w:color w:val="444444"/>
          <w:lang w:val="en"/>
        </w:rPr>
        <w:t xml:space="preserve"> existing vegetation map.</w:t>
      </w:r>
      <w:r w:rsidR="00791F72" w:rsidRPr="00791F72">
        <w:rPr>
          <w:rStyle w:val="st1"/>
          <w:rFonts w:cs="Arial"/>
          <w:color w:val="444444"/>
          <w:lang w:val="en"/>
        </w:rPr>
        <w:t xml:space="preserve">  The NALCMS dataset was not highly resolved enough to distinguish between the upland forest, forested wetland, and fen vegetation types. </w:t>
      </w:r>
      <w:r w:rsidR="00791F72">
        <w:rPr>
          <w:rStyle w:val="st1"/>
          <w:rFonts w:cs="Arial"/>
          <w:color w:val="444444"/>
          <w:lang w:val="en"/>
        </w:rPr>
        <w:t xml:space="preserve"> LANDFIRE was not used due to its low accuracy compared to the NLCD (DeVelice, 2012).</w:t>
      </w:r>
      <w:r w:rsidR="001E023C">
        <w:rPr>
          <w:rStyle w:val="st1"/>
          <w:rFonts w:cs="Arial"/>
          <w:color w:val="444444"/>
          <w:lang w:val="en"/>
        </w:rPr>
        <w:t xml:space="preserve"> </w:t>
      </w:r>
    </w:p>
    <w:p w:rsidR="00DB63D3" w:rsidRDefault="001E023C" w:rsidP="001E023C">
      <w:pPr>
        <w:spacing w:after="0" w:line="240" w:lineRule="auto"/>
        <w:ind w:left="360"/>
      </w:pPr>
      <w:r>
        <w:t xml:space="preserve">Two available land cover datasets </w:t>
      </w:r>
      <w:r w:rsidR="00DB63D3">
        <w:t xml:space="preserve">with continuous coverage that were </w:t>
      </w:r>
      <w:r>
        <w:t xml:space="preserve">not assessed </w:t>
      </w:r>
      <w:r w:rsidR="00DB63D3">
        <w:t xml:space="preserve">are: </w:t>
      </w:r>
    </w:p>
    <w:p w:rsidR="001E023C" w:rsidRDefault="00DB63D3" w:rsidP="00DB63D3">
      <w:pPr>
        <w:pStyle w:val="ListParagraph"/>
        <w:numPr>
          <w:ilvl w:val="0"/>
          <w:numId w:val="5"/>
        </w:numPr>
        <w:spacing w:after="0" w:line="240" w:lineRule="auto"/>
      </w:pPr>
      <w:r w:rsidRPr="00C91C22">
        <w:rPr>
          <w:i/>
        </w:rPr>
        <w:t>Transboundary LandCover</w:t>
      </w:r>
      <w:r>
        <w:t xml:space="preserve">: produced in 2012 by Nathan Walker of the </w:t>
      </w:r>
      <w:r w:rsidR="001145BF">
        <w:t>Audubon</w:t>
      </w:r>
      <w:r>
        <w:t xml:space="preserve"> Society for the Transboundary Data Integration Workshop. Available as polygons or 30-m</w:t>
      </w:r>
      <w:r w:rsidR="00C91C22">
        <w:t>eter</w:t>
      </w:r>
      <w:r>
        <w:t xml:space="preserve"> pixels. Covers SEAK and part of B.C.</w:t>
      </w:r>
      <w:r w:rsidR="00C91C22">
        <w:t xml:space="preserve"> and has three levels of land cover classification.</w:t>
      </w:r>
    </w:p>
    <w:p w:rsidR="00DB63D3" w:rsidRPr="00791F72" w:rsidRDefault="00A6656F" w:rsidP="00A6656F">
      <w:pPr>
        <w:pStyle w:val="ListParagraph"/>
        <w:numPr>
          <w:ilvl w:val="0"/>
          <w:numId w:val="5"/>
        </w:numPr>
        <w:spacing w:after="0" w:line="240" w:lineRule="auto"/>
      </w:pPr>
      <w:r>
        <w:t>The Southern Alaska and Aleutian Island Vegetation Map (</w:t>
      </w:r>
      <w:r w:rsidRPr="00A6656F">
        <w:t>Boggs</w:t>
      </w:r>
      <w:r>
        <w:t>, K., T.V. Boucher, and T.T. Ku, 2014), p</w:t>
      </w:r>
      <w:r w:rsidR="00DB63D3">
        <w:t>roduced by the Alaska Natural Heritage Program (AKNHP, UAA)</w:t>
      </w:r>
      <w:r w:rsidR="00C91C22">
        <w:t>. Available as a 30-meter resolution raster and has two levels of land cover classification.</w:t>
      </w:r>
      <w:r w:rsidR="00254967">
        <w:t xml:space="preserve"> The AKNHP has produced vegetation maps that have statewide coverage.</w:t>
      </w:r>
    </w:p>
    <w:p w:rsidR="00B87012" w:rsidRDefault="00791F72" w:rsidP="00791F72">
      <w:pPr>
        <w:tabs>
          <w:tab w:val="left" w:pos="3291"/>
        </w:tabs>
        <w:spacing w:after="0" w:line="240" w:lineRule="auto"/>
      </w:pPr>
      <w:r>
        <w:tab/>
      </w:r>
    </w:p>
    <w:p w:rsidR="00C6585C" w:rsidRDefault="00C6585C" w:rsidP="001335E6">
      <w:pPr>
        <w:spacing w:after="0" w:line="240" w:lineRule="auto"/>
      </w:pPr>
    </w:p>
    <w:p w:rsidR="00C6585C" w:rsidRDefault="00C6585C" w:rsidP="001335E6">
      <w:pPr>
        <w:spacing w:after="0" w:line="240" w:lineRule="auto"/>
      </w:pPr>
      <w:r>
        <w:t xml:space="preserve">DeVelice, R.L.  </w:t>
      </w:r>
      <w:proofErr w:type="gramStart"/>
      <w:r w:rsidRPr="00B66ABE">
        <w:rPr>
          <w:i/>
        </w:rPr>
        <w:t>Accuracy of Chugach National Forest Land Cover Maps</w:t>
      </w:r>
      <w:r>
        <w:t>.</w:t>
      </w:r>
      <w:proofErr w:type="gramEnd"/>
      <w:r>
        <w:t xml:space="preserve">  Available from:  </w:t>
      </w:r>
      <w:hyperlink r:id="rId11" w:history="1">
        <w:r w:rsidRPr="0097772F">
          <w:rPr>
            <w:rStyle w:val="Hyperlink"/>
            <w:rFonts w:ascii="Arial" w:hAnsi="Arial" w:cs="Arial"/>
            <w:lang w:val="en"/>
          </w:rPr>
          <w:t>www.landfire.gov/downloadfile.php?file=</w:t>
        </w:r>
        <w:r w:rsidRPr="0097772F">
          <w:rPr>
            <w:rStyle w:val="Hyperlink"/>
          </w:rPr>
          <w:t>accuracy_of_cnf_landcover_maps_021612_rld.pdf</w:t>
        </w:r>
      </w:hyperlink>
      <w:r>
        <w:t xml:space="preserve"> </w:t>
      </w:r>
    </w:p>
    <w:p w:rsidR="00763112" w:rsidRDefault="00763112" w:rsidP="001335E6">
      <w:pPr>
        <w:spacing w:after="0" w:line="240" w:lineRule="auto"/>
      </w:pPr>
    </w:p>
    <w:p w:rsidR="001E023C" w:rsidRPr="001E023C" w:rsidRDefault="001E023C" w:rsidP="001335E6">
      <w:pPr>
        <w:spacing w:after="0" w:line="240" w:lineRule="auto"/>
      </w:pPr>
      <w:proofErr w:type="gramStart"/>
      <w:r w:rsidRPr="001E023C">
        <w:rPr>
          <w:color w:val="000000"/>
          <w:shd w:val="clear" w:color="auto" w:fill="FFFFFF"/>
        </w:rPr>
        <w:t xml:space="preserve">Homer, C., </w:t>
      </w:r>
      <w:proofErr w:type="spellStart"/>
      <w:r w:rsidRPr="001E023C">
        <w:rPr>
          <w:color w:val="000000"/>
          <w:shd w:val="clear" w:color="auto" w:fill="FFFFFF"/>
        </w:rPr>
        <w:t>Dewitz</w:t>
      </w:r>
      <w:proofErr w:type="spellEnd"/>
      <w:r w:rsidRPr="001E023C">
        <w:rPr>
          <w:color w:val="000000"/>
          <w:shd w:val="clear" w:color="auto" w:fill="FFFFFF"/>
        </w:rPr>
        <w:t xml:space="preserve">, J., Fry, J., </w:t>
      </w:r>
      <w:proofErr w:type="spellStart"/>
      <w:r w:rsidRPr="001E023C">
        <w:rPr>
          <w:color w:val="000000"/>
          <w:shd w:val="clear" w:color="auto" w:fill="FFFFFF"/>
        </w:rPr>
        <w:t>Coan</w:t>
      </w:r>
      <w:proofErr w:type="spellEnd"/>
      <w:r w:rsidRPr="001E023C">
        <w:rPr>
          <w:color w:val="000000"/>
          <w:shd w:val="clear" w:color="auto" w:fill="FFFFFF"/>
        </w:rPr>
        <w:t xml:space="preserve">, M., Hossain, N., Larson, C., </w:t>
      </w:r>
      <w:proofErr w:type="spellStart"/>
      <w:r w:rsidRPr="001E023C">
        <w:rPr>
          <w:color w:val="000000"/>
          <w:shd w:val="clear" w:color="auto" w:fill="FFFFFF"/>
        </w:rPr>
        <w:t>Herold</w:t>
      </w:r>
      <w:proofErr w:type="spellEnd"/>
      <w:r w:rsidRPr="001E023C">
        <w:rPr>
          <w:color w:val="000000"/>
          <w:shd w:val="clear" w:color="auto" w:fill="FFFFFF"/>
        </w:rPr>
        <w:t xml:space="preserve">, N., </w:t>
      </w:r>
      <w:proofErr w:type="spellStart"/>
      <w:r w:rsidRPr="001E023C">
        <w:rPr>
          <w:color w:val="000000"/>
          <w:shd w:val="clear" w:color="auto" w:fill="FFFFFF"/>
        </w:rPr>
        <w:t>McKerrow</w:t>
      </w:r>
      <w:proofErr w:type="spellEnd"/>
      <w:r w:rsidRPr="001E023C">
        <w:rPr>
          <w:color w:val="000000"/>
          <w:shd w:val="clear" w:color="auto" w:fill="FFFFFF"/>
        </w:rPr>
        <w:t xml:space="preserve">, A., </w:t>
      </w:r>
      <w:proofErr w:type="spellStart"/>
      <w:r w:rsidRPr="001E023C">
        <w:rPr>
          <w:color w:val="000000"/>
          <w:shd w:val="clear" w:color="auto" w:fill="FFFFFF"/>
        </w:rPr>
        <w:t>VanDriel</w:t>
      </w:r>
      <w:proofErr w:type="spellEnd"/>
      <w:r w:rsidRPr="001E023C">
        <w:rPr>
          <w:color w:val="000000"/>
          <w:shd w:val="clear" w:color="auto" w:fill="FFFFFF"/>
        </w:rPr>
        <w:t>, J.N., and Wickham, J. 2007.</w:t>
      </w:r>
      <w:proofErr w:type="gramEnd"/>
      <w:r w:rsidRPr="001E023C">
        <w:rPr>
          <w:color w:val="000000"/>
          <w:shd w:val="clear" w:color="auto" w:fill="FFFFFF"/>
        </w:rPr>
        <w:t xml:space="preserve"> </w:t>
      </w:r>
      <w:r w:rsidR="000D3DDE">
        <w:fldChar w:fldCharType="begin"/>
      </w:r>
      <w:r w:rsidR="000D3DDE">
        <w:instrText xml:space="preserve"> HYPERLINK "http://www.asprs.org/a/publications/pers/2007journal/april/highlight.pdf" \t "_blank" </w:instrText>
      </w:r>
      <w:r w:rsidR="000D3DDE">
        <w:fldChar w:fldCharType="separate"/>
      </w:r>
      <w:r w:rsidRPr="001E023C">
        <w:rPr>
          <w:rStyle w:val="Hyperlink"/>
          <w:shd w:val="clear" w:color="auto" w:fill="FFFFFF"/>
        </w:rPr>
        <w:t>Completion of the 2001 National Land Cover Database for the Conterminous United States</w:t>
      </w:r>
      <w:r w:rsidR="000D3DDE">
        <w:rPr>
          <w:rStyle w:val="Hyperlink"/>
          <w:shd w:val="clear" w:color="auto" w:fill="FFFFFF"/>
        </w:rPr>
        <w:fldChar w:fldCharType="end"/>
      </w:r>
      <w:r w:rsidRPr="001E023C">
        <w:rPr>
          <w:color w:val="000000"/>
          <w:shd w:val="clear" w:color="auto" w:fill="FFFFFF"/>
        </w:rPr>
        <w:t xml:space="preserve">. </w:t>
      </w:r>
      <w:r w:rsidRPr="001E023C">
        <w:rPr>
          <w:i/>
          <w:iCs/>
          <w:color w:val="000000"/>
          <w:shd w:val="clear" w:color="auto" w:fill="FFFFFF"/>
        </w:rPr>
        <w:t>Photogrammetric Engineering and Remote Sensing</w:t>
      </w:r>
      <w:r w:rsidRPr="001E023C">
        <w:rPr>
          <w:color w:val="000000"/>
          <w:shd w:val="clear" w:color="auto" w:fill="FFFFFF"/>
        </w:rPr>
        <w:t>, Vol. 73, No. 4, pp 337-341.</w:t>
      </w:r>
    </w:p>
    <w:p w:rsidR="00763112" w:rsidRPr="001E023C"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pPr>
    </w:p>
    <w:p w:rsidR="00763112" w:rsidRDefault="00763112" w:rsidP="001335E6">
      <w:pPr>
        <w:spacing w:after="0" w:line="240" w:lineRule="auto"/>
        <w:sectPr w:rsidR="00763112">
          <w:footerReference w:type="default" r:id="rId12"/>
          <w:pgSz w:w="12240" w:h="15840"/>
          <w:pgMar w:top="1440" w:right="1440" w:bottom="1440" w:left="1440" w:header="720" w:footer="720" w:gutter="0"/>
          <w:cols w:space="720"/>
          <w:docGrid w:linePitch="360"/>
        </w:sectPr>
      </w:pPr>
    </w:p>
    <w:p w:rsidR="00763112" w:rsidRDefault="00763112" w:rsidP="00763112">
      <w:pPr>
        <w:spacing w:after="0" w:line="240" w:lineRule="auto"/>
        <w:jc w:val="center"/>
      </w:pPr>
      <w:r>
        <w:rPr>
          <w:noProof/>
        </w:rPr>
        <w:lastRenderedPageBreak/>
        <w:drawing>
          <wp:inline distT="0" distB="0" distL="0" distR="0">
            <wp:extent cx="7267699" cy="53676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NPLCC_SEAK_SCAK_areas.jpg"/>
                    <pic:cNvPicPr/>
                  </pic:nvPicPr>
                  <pic:blipFill rotWithShape="1">
                    <a:blip r:embed="rId13" cstate="print">
                      <a:extLst>
                        <a:ext uri="{28A0092B-C50C-407E-A947-70E740481C1C}">
                          <a14:useLocalDpi xmlns:a14="http://schemas.microsoft.com/office/drawing/2010/main" val="0"/>
                        </a:ext>
                      </a:extLst>
                    </a:blip>
                    <a:srcRect l="3394" t="2396" r="2161" b="7334"/>
                    <a:stretch/>
                  </pic:blipFill>
                  <pic:spPr bwMode="auto">
                    <a:xfrm>
                      <a:off x="0" y="0"/>
                      <a:ext cx="7264436" cy="5365237"/>
                    </a:xfrm>
                    <a:prstGeom prst="rect">
                      <a:avLst/>
                    </a:prstGeom>
                    <a:ln>
                      <a:noFill/>
                    </a:ln>
                    <a:extLst>
                      <a:ext uri="{53640926-AAD7-44d8-BBD7-CCE9431645EC}">
                        <a14:shadowObscured xmlns:a14="http://schemas.microsoft.com/office/drawing/2010/main"/>
                      </a:ext>
                    </a:extLst>
                  </pic:spPr>
                </pic:pic>
              </a:graphicData>
            </a:graphic>
          </wp:inline>
        </w:drawing>
      </w:r>
    </w:p>
    <w:p w:rsidR="00763112" w:rsidRDefault="00763112" w:rsidP="00763112">
      <w:pPr>
        <w:spacing w:after="0" w:line="240" w:lineRule="auto"/>
      </w:pPr>
      <w:r>
        <w:t xml:space="preserve">Figure 1. </w:t>
      </w:r>
      <w:proofErr w:type="gramStart"/>
      <w:r>
        <w:t>Boundary of Alaska North Pacific Landscape Conservation Cooperative (AK NPLCC) LandCarbon project area.</w:t>
      </w:r>
      <w:proofErr w:type="gramEnd"/>
      <w:r>
        <w:t xml:space="preserve"> </w:t>
      </w:r>
      <w:r w:rsidR="00242FED">
        <w:t xml:space="preserve">The red boxes define the southeast Alaska (SEAK) and south-central Alaska (SCAK) extents within the AK NPLCC. Cross-hatching shows </w:t>
      </w:r>
      <w:r w:rsidR="005B5C93">
        <w:t xml:space="preserve">the location of the Tongass National Forest (TNF) with SEAK and the Chugach National Forest in SCAK. </w:t>
      </w:r>
    </w:p>
    <w:sectPr w:rsidR="00763112" w:rsidSect="007631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792" w:rsidRDefault="007B2792" w:rsidP="00B66ABE">
      <w:pPr>
        <w:spacing w:after="0" w:line="240" w:lineRule="auto"/>
      </w:pPr>
      <w:r>
        <w:separator/>
      </w:r>
    </w:p>
  </w:endnote>
  <w:endnote w:type="continuationSeparator" w:id="0">
    <w:p w:rsidR="007B2792" w:rsidRDefault="007B2792" w:rsidP="00B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73C" w:rsidRDefault="00FA3E2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3</w:t>
    </w:r>
    <w:r w:rsidR="001F573C">
      <w:rPr>
        <w:rFonts w:asciiTheme="majorHAnsi" w:eastAsiaTheme="majorEastAsia" w:hAnsiTheme="majorHAnsi" w:cstheme="majorBidi"/>
      </w:rPr>
      <w:t>/</w:t>
    </w:r>
    <w:r>
      <w:rPr>
        <w:rFonts w:asciiTheme="majorHAnsi" w:eastAsiaTheme="majorEastAsia" w:hAnsiTheme="majorHAnsi" w:cstheme="majorBidi"/>
      </w:rPr>
      <w:t>4</w:t>
    </w:r>
    <w:r w:rsidR="001F573C">
      <w:rPr>
        <w:rFonts w:asciiTheme="majorHAnsi" w:eastAsiaTheme="majorEastAsia" w:hAnsiTheme="majorHAnsi" w:cstheme="majorBidi"/>
      </w:rPr>
      <w:t>/2014, ver. 1.</w:t>
    </w:r>
    <w:r>
      <w:rPr>
        <w:rFonts w:asciiTheme="majorHAnsi" w:eastAsiaTheme="majorEastAsia" w:hAnsiTheme="majorHAnsi" w:cstheme="majorBidi"/>
      </w:rPr>
      <w:t>3</w:t>
    </w:r>
    <w:r w:rsidR="001F573C">
      <w:rPr>
        <w:rFonts w:asciiTheme="majorHAnsi" w:eastAsiaTheme="majorEastAsia" w:hAnsiTheme="majorHAnsi" w:cstheme="majorBidi"/>
      </w:rPr>
      <w:ptab w:relativeTo="margin" w:alignment="right" w:leader="none"/>
    </w:r>
    <w:r w:rsidR="001F573C">
      <w:rPr>
        <w:rFonts w:asciiTheme="majorHAnsi" w:eastAsiaTheme="majorEastAsia" w:hAnsiTheme="majorHAnsi" w:cstheme="majorBidi"/>
      </w:rPr>
      <w:t xml:space="preserve">Page </w:t>
    </w:r>
    <w:r w:rsidR="001F573C">
      <w:rPr>
        <w:rFonts w:eastAsiaTheme="minorEastAsia"/>
      </w:rPr>
      <w:fldChar w:fldCharType="begin"/>
    </w:r>
    <w:r w:rsidR="001F573C">
      <w:instrText xml:space="preserve"> PAGE   \* MERGEFORMAT </w:instrText>
    </w:r>
    <w:r w:rsidR="001F573C">
      <w:rPr>
        <w:rFonts w:eastAsiaTheme="minorEastAsia"/>
      </w:rPr>
      <w:fldChar w:fldCharType="separate"/>
    </w:r>
    <w:r w:rsidR="000D3DDE" w:rsidRPr="000D3DDE">
      <w:rPr>
        <w:rFonts w:asciiTheme="majorHAnsi" w:eastAsiaTheme="majorEastAsia" w:hAnsiTheme="majorHAnsi" w:cstheme="majorBidi"/>
        <w:noProof/>
      </w:rPr>
      <w:t>4</w:t>
    </w:r>
    <w:r w:rsidR="001F573C">
      <w:rPr>
        <w:rFonts w:asciiTheme="majorHAnsi" w:eastAsiaTheme="majorEastAsia" w:hAnsiTheme="majorHAnsi" w:cstheme="majorBidi"/>
        <w:noProof/>
      </w:rPr>
      <w:fldChar w:fldCharType="end"/>
    </w:r>
  </w:p>
  <w:p w:rsidR="001F573C" w:rsidRDefault="001F57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792" w:rsidRDefault="007B2792" w:rsidP="00B66ABE">
      <w:pPr>
        <w:spacing w:after="0" w:line="240" w:lineRule="auto"/>
      </w:pPr>
      <w:r>
        <w:separator/>
      </w:r>
    </w:p>
  </w:footnote>
  <w:footnote w:type="continuationSeparator" w:id="0">
    <w:p w:rsidR="007B2792" w:rsidRDefault="007B2792" w:rsidP="00B66A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F3973"/>
    <w:multiLevelType w:val="hybridMultilevel"/>
    <w:tmpl w:val="7A8E121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8C1A52"/>
    <w:multiLevelType w:val="hybridMultilevel"/>
    <w:tmpl w:val="20B4E064"/>
    <w:lvl w:ilvl="0" w:tplc="C298E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07222A"/>
    <w:multiLevelType w:val="hybridMultilevel"/>
    <w:tmpl w:val="6CA68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AC472E"/>
    <w:multiLevelType w:val="hybridMultilevel"/>
    <w:tmpl w:val="2F08ADDE"/>
    <w:lvl w:ilvl="0" w:tplc="A2E6D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460424"/>
    <w:multiLevelType w:val="hybridMultilevel"/>
    <w:tmpl w:val="EF006E1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98"/>
    <w:rsid w:val="000126A1"/>
    <w:rsid w:val="000127D4"/>
    <w:rsid w:val="00022681"/>
    <w:rsid w:val="0004339B"/>
    <w:rsid w:val="00050B78"/>
    <w:rsid w:val="00055BE4"/>
    <w:rsid w:val="000C3443"/>
    <w:rsid w:val="000C5701"/>
    <w:rsid w:val="000D3DDE"/>
    <w:rsid w:val="000D7AD3"/>
    <w:rsid w:val="0010196C"/>
    <w:rsid w:val="001145BF"/>
    <w:rsid w:val="001148A5"/>
    <w:rsid w:val="001335E6"/>
    <w:rsid w:val="0014213E"/>
    <w:rsid w:val="00143E73"/>
    <w:rsid w:val="00146303"/>
    <w:rsid w:val="00173124"/>
    <w:rsid w:val="00175CBA"/>
    <w:rsid w:val="00175EB0"/>
    <w:rsid w:val="00177771"/>
    <w:rsid w:val="001912C0"/>
    <w:rsid w:val="001A1262"/>
    <w:rsid w:val="001A3144"/>
    <w:rsid w:val="001B1BE5"/>
    <w:rsid w:val="001B7D20"/>
    <w:rsid w:val="001D4A03"/>
    <w:rsid w:val="001E023C"/>
    <w:rsid w:val="001E5805"/>
    <w:rsid w:val="001E6A92"/>
    <w:rsid w:val="001F3FAE"/>
    <w:rsid w:val="001F573C"/>
    <w:rsid w:val="00200AED"/>
    <w:rsid w:val="00207C5A"/>
    <w:rsid w:val="0022481E"/>
    <w:rsid w:val="0023444A"/>
    <w:rsid w:val="00235E89"/>
    <w:rsid w:val="00242FED"/>
    <w:rsid w:val="00254967"/>
    <w:rsid w:val="00263789"/>
    <w:rsid w:val="00276A59"/>
    <w:rsid w:val="00280886"/>
    <w:rsid w:val="0029371D"/>
    <w:rsid w:val="002A386E"/>
    <w:rsid w:val="002A602C"/>
    <w:rsid w:val="002D592E"/>
    <w:rsid w:val="002F045A"/>
    <w:rsid w:val="003108D3"/>
    <w:rsid w:val="00315143"/>
    <w:rsid w:val="003165FC"/>
    <w:rsid w:val="00345CA7"/>
    <w:rsid w:val="003570C1"/>
    <w:rsid w:val="00363EA4"/>
    <w:rsid w:val="00366730"/>
    <w:rsid w:val="00375BE8"/>
    <w:rsid w:val="00384F97"/>
    <w:rsid w:val="00393CC1"/>
    <w:rsid w:val="003B32AE"/>
    <w:rsid w:val="003B442A"/>
    <w:rsid w:val="003D0AF8"/>
    <w:rsid w:val="003D2E97"/>
    <w:rsid w:val="003F046F"/>
    <w:rsid w:val="0044128A"/>
    <w:rsid w:val="004419BD"/>
    <w:rsid w:val="004668F7"/>
    <w:rsid w:val="004C08FE"/>
    <w:rsid w:val="004E3F0D"/>
    <w:rsid w:val="004E6DD2"/>
    <w:rsid w:val="005225E8"/>
    <w:rsid w:val="00537A7D"/>
    <w:rsid w:val="005939D2"/>
    <w:rsid w:val="005B5C93"/>
    <w:rsid w:val="005F06D1"/>
    <w:rsid w:val="005F425D"/>
    <w:rsid w:val="0061372D"/>
    <w:rsid w:val="006206A2"/>
    <w:rsid w:val="00622C05"/>
    <w:rsid w:val="006261C1"/>
    <w:rsid w:val="00640496"/>
    <w:rsid w:val="006621F9"/>
    <w:rsid w:val="00664347"/>
    <w:rsid w:val="00673610"/>
    <w:rsid w:val="00684D99"/>
    <w:rsid w:val="0068565C"/>
    <w:rsid w:val="006A2D81"/>
    <w:rsid w:val="006B07CD"/>
    <w:rsid w:val="006C43BE"/>
    <w:rsid w:val="006E1D29"/>
    <w:rsid w:val="006E79D8"/>
    <w:rsid w:val="006F0701"/>
    <w:rsid w:val="007009A0"/>
    <w:rsid w:val="007033EE"/>
    <w:rsid w:val="00712004"/>
    <w:rsid w:val="00722735"/>
    <w:rsid w:val="0072467B"/>
    <w:rsid w:val="00725942"/>
    <w:rsid w:val="007273D5"/>
    <w:rsid w:val="0073257E"/>
    <w:rsid w:val="00752CAF"/>
    <w:rsid w:val="00755542"/>
    <w:rsid w:val="0075571C"/>
    <w:rsid w:val="00761904"/>
    <w:rsid w:val="00763112"/>
    <w:rsid w:val="00771085"/>
    <w:rsid w:val="007853E9"/>
    <w:rsid w:val="0078697A"/>
    <w:rsid w:val="00791F72"/>
    <w:rsid w:val="007B2792"/>
    <w:rsid w:val="007B6DFD"/>
    <w:rsid w:val="007E49E0"/>
    <w:rsid w:val="00801177"/>
    <w:rsid w:val="008538CF"/>
    <w:rsid w:val="00873D95"/>
    <w:rsid w:val="008A4FF3"/>
    <w:rsid w:val="008B0716"/>
    <w:rsid w:val="008C5C74"/>
    <w:rsid w:val="008E2E27"/>
    <w:rsid w:val="008E4BF4"/>
    <w:rsid w:val="00901912"/>
    <w:rsid w:val="0090322D"/>
    <w:rsid w:val="009354C8"/>
    <w:rsid w:val="00935A40"/>
    <w:rsid w:val="00A17666"/>
    <w:rsid w:val="00A21690"/>
    <w:rsid w:val="00A300CB"/>
    <w:rsid w:val="00A34FF2"/>
    <w:rsid w:val="00A517AF"/>
    <w:rsid w:val="00A6656F"/>
    <w:rsid w:val="00A67342"/>
    <w:rsid w:val="00A85765"/>
    <w:rsid w:val="00A947D5"/>
    <w:rsid w:val="00AB0B3E"/>
    <w:rsid w:val="00AB370D"/>
    <w:rsid w:val="00AD2E81"/>
    <w:rsid w:val="00AE4A12"/>
    <w:rsid w:val="00AF6059"/>
    <w:rsid w:val="00B172D8"/>
    <w:rsid w:val="00B3596C"/>
    <w:rsid w:val="00B402F7"/>
    <w:rsid w:val="00B43672"/>
    <w:rsid w:val="00B50CD4"/>
    <w:rsid w:val="00B61AE4"/>
    <w:rsid w:val="00B66ABE"/>
    <w:rsid w:val="00B721A2"/>
    <w:rsid w:val="00B7341C"/>
    <w:rsid w:val="00B87012"/>
    <w:rsid w:val="00BB17B2"/>
    <w:rsid w:val="00BD0AA8"/>
    <w:rsid w:val="00BD1101"/>
    <w:rsid w:val="00BE0D46"/>
    <w:rsid w:val="00BE265A"/>
    <w:rsid w:val="00BF1C57"/>
    <w:rsid w:val="00BF68D4"/>
    <w:rsid w:val="00C143DB"/>
    <w:rsid w:val="00C6585C"/>
    <w:rsid w:val="00C91C22"/>
    <w:rsid w:val="00CB7A86"/>
    <w:rsid w:val="00D4466D"/>
    <w:rsid w:val="00D62309"/>
    <w:rsid w:val="00D726CE"/>
    <w:rsid w:val="00D82824"/>
    <w:rsid w:val="00DA0E85"/>
    <w:rsid w:val="00DB2B96"/>
    <w:rsid w:val="00DB63D3"/>
    <w:rsid w:val="00DE6A9C"/>
    <w:rsid w:val="00E11FDF"/>
    <w:rsid w:val="00E25DC3"/>
    <w:rsid w:val="00E36EE2"/>
    <w:rsid w:val="00E528BF"/>
    <w:rsid w:val="00E56798"/>
    <w:rsid w:val="00E86C4E"/>
    <w:rsid w:val="00E95987"/>
    <w:rsid w:val="00E9641F"/>
    <w:rsid w:val="00E96ED2"/>
    <w:rsid w:val="00EB29FD"/>
    <w:rsid w:val="00EE0D3A"/>
    <w:rsid w:val="00EE1F8C"/>
    <w:rsid w:val="00EE226D"/>
    <w:rsid w:val="00EE4D22"/>
    <w:rsid w:val="00F01330"/>
    <w:rsid w:val="00F026A2"/>
    <w:rsid w:val="00F13E45"/>
    <w:rsid w:val="00F70905"/>
    <w:rsid w:val="00F90A1A"/>
    <w:rsid w:val="00FA3E2A"/>
    <w:rsid w:val="00FD3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5D"/>
    <w:pPr>
      <w:ind w:left="720"/>
      <w:contextualSpacing/>
    </w:pPr>
  </w:style>
  <w:style w:type="table" w:styleId="TableGrid">
    <w:name w:val="Table Grid"/>
    <w:basedOn w:val="TableNormal"/>
    <w:uiPriority w:val="59"/>
    <w:rsid w:val="00177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5DC3"/>
    <w:rPr>
      <w:color w:val="0000FF" w:themeColor="hyperlink"/>
      <w:u w:val="single"/>
    </w:rPr>
  </w:style>
  <w:style w:type="character" w:styleId="HTMLCite">
    <w:name w:val="HTML Cite"/>
    <w:basedOn w:val="DefaultParagraphFont"/>
    <w:uiPriority w:val="99"/>
    <w:semiHidden/>
    <w:unhideWhenUsed/>
    <w:rsid w:val="00C6585C"/>
    <w:rPr>
      <w:i/>
      <w:iCs/>
    </w:rPr>
  </w:style>
  <w:style w:type="character" w:styleId="FollowedHyperlink">
    <w:name w:val="FollowedHyperlink"/>
    <w:basedOn w:val="DefaultParagraphFont"/>
    <w:uiPriority w:val="99"/>
    <w:semiHidden/>
    <w:unhideWhenUsed/>
    <w:rsid w:val="00C6585C"/>
    <w:rPr>
      <w:color w:val="800080" w:themeColor="followedHyperlink"/>
      <w:u w:val="single"/>
    </w:rPr>
  </w:style>
  <w:style w:type="paragraph" w:styleId="Header">
    <w:name w:val="header"/>
    <w:basedOn w:val="Normal"/>
    <w:link w:val="HeaderChar"/>
    <w:uiPriority w:val="99"/>
    <w:unhideWhenUsed/>
    <w:rsid w:val="00B66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ABE"/>
  </w:style>
  <w:style w:type="paragraph" w:styleId="Footer">
    <w:name w:val="footer"/>
    <w:basedOn w:val="Normal"/>
    <w:link w:val="FooterChar"/>
    <w:uiPriority w:val="99"/>
    <w:unhideWhenUsed/>
    <w:rsid w:val="00B66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ABE"/>
  </w:style>
  <w:style w:type="paragraph" w:styleId="BalloonText">
    <w:name w:val="Balloon Text"/>
    <w:basedOn w:val="Normal"/>
    <w:link w:val="BalloonTextChar"/>
    <w:uiPriority w:val="99"/>
    <w:semiHidden/>
    <w:unhideWhenUsed/>
    <w:rsid w:val="0076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12"/>
    <w:rPr>
      <w:rFonts w:ascii="Tahoma" w:hAnsi="Tahoma" w:cs="Tahoma"/>
      <w:sz w:val="16"/>
      <w:szCs w:val="16"/>
    </w:rPr>
  </w:style>
  <w:style w:type="character" w:styleId="CommentReference">
    <w:name w:val="annotation reference"/>
    <w:basedOn w:val="DefaultParagraphFont"/>
    <w:uiPriority w:val="99"/>
    <w:semiHidden/>
    <w:unhideWhenUsed/>
    <w:rsid w:val="00E528BF"/>
    <w:rPr>
      <w:sz w:val="16"/>
      <w:szCs w:val="16"/>
    </w:rPr>
  </w:style>
  <w:style w:type="paragraph" w:styleId="CommentText">
    <w:name w:val="annotation text"/>
    <w:basedOn w:val="Normal"/>
    <w:link w:val="CommentTextChar"/>
    <w:uiPriority w:val="99"/>
    <w:semiHidden/>
    <w:unhideWhenUsed/>
    <w:rsid w:val="00E528BF"/>
    <w:pPr>
      <w:spacing w:line="240" w:lineRule="auto"/>
    </w:pPr>
    <w:rPr>
      <w:sz w:val="20"/>
      <w:szCs w:val="20"/>
    </w:rPr>
  </w:style>
  <w:style w:type="character" w:customStyle="1" w:styleId="CommentTextChar">
    <w:name w:val="Comment Text Char"/>
    <w:basedOn w:val="DefaultParagraphFont"/>
    <w:link w:val="CommentText"/>
    <w:uiPriority w:val="99"/>
    <w:semiHidden/>
    <w:rsid w:val="00E528BF"/>
    <w:rPr>
      <w:sz w:val="20"/>
      <w:szCs w:val="20"/>
    </w:rPr>
  </w:style>
  <w:style w:type="paragraph" w:styleId="CommentSubject">
    <w:name w:val="annotation subject"/>
    <w:basedOn w:val="CommentText"/>
    <w:next w:val="CommentText"/>
    <w:link w:val="CommentSubjectChar"/>
    <w:uiPriority w:val="99"/>
    <w:semiHidden/>
    <w:unhideWhenUsed/>
    <w:rsid w:val="00E528BF"/>
    <w:rPr>
      <w:b/>
      <w:bCs/>
    </w:rPr>
  </w:style>
  <w:style w:type="character" w:customStyle="1" w:styleId="CommentSubjectChar">
    <w:name w:val="Comment Subject Char"/>
    <w:basedOn w:val="CommentTextChar"/>
    <w:link w:val="CommentSubject"/>
    <w:uiPriority w:val="99"/>
    <w:semiHidden/>
    <w:rsid w:val="00E528BF"/>
    <w:rPr>
      <w:b/>
      <w:bCs/>
      <w:sz w:val="20"/>
      <w:szCs w:val="20"/>
    </w:rPr>
  </w:style>
  <w:style w:type="character" w:styleId="Emphasis">
    <w:name w:val="Emphasis"/>
    <w:basedOn w:val="DefaultParagraphFont"/>
    <w:uiPriority w:val="20"/>
    <w:qFormat/>
    <w:rsid w:val="00EB29FD"/>
    <w:rPr>
      <w:b/>
      <w:bCs/>
      <w:i w:val="0"/>
      <w:iCs w:val="0"/>
    </w:rPr>
  </w:style>
  <w:style w:type="character" w:customStyle="1" w:styleId="st1">
    <w:name w:val="st1"/>
    <w:basedOn w:val="DefaultParagraphFont"/>
    <w:rsid w:val="00EB29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5D"/>
    <w:pPr>
      <w:ind w:left="720"/>
      <w:contextualSpacing/>
    </w:pPr>
  </w:style>
  <w:style w:type="table" w:styleId="TableGrid">
    <w:name w:val="Table Grid"/>
    <w:basedOn w:val="TableNormal"/>
    <w:uiPriority w:val="59"/>
    <w:rsid w:val="00177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5DC3"/>
    <w:rPr>
      <w:color w:val="0000FF" w:themeColor="hyperlink"/>
      <w:u w:val="single"/>
    </w:rPr>
  </w:style>
  <w:style w:type="character" w:styleId="HTMLCite">
    <w:name w:val="HTML Cite"/>
    <w:basedOn w:val="DefaultParagraphFont"/>
    <w:uiPriority w:val="99"/>
    <w:semiHidden/>
    <w:unhideWhenUsed/>
    <w:rsid w:val="00C6585C"/>
    <w:rPr>
      <w:i/>
      <w:iCs/>
    </w:rPr>
  </w:style>
  <w:style w:type="character" w:styleId="FollowedHyperlink">
    <w:name w:val="FollowedHyperlink"/>
    <w:basedOn w:val="DefaultParagraphFont"/>
    <w:uiPriority w:val="99"/>
    <w:semiHidden/>
    <w:unhideWhenUsed/>
    <w:rsid w:val="00C6585C"/>
    <w:rPr>
      <w:color w:val="800080" w:themeColor="followedHyperlink"/>
      <w:u w:val="single"/>
    </w:rPr>
  </w:style>
  <w:style w:type="paragraph" w:styleId="Header">
    <w:name w:val="header"/>
    <w:basedOn w:val="Normal"/>
    <w:link w:val="HeaderChar"/>
    <w:uiPriority w:val="99"/>
    <w:unhideWhenUsed/>
    <w:rsid w:val="00B66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ABE"/>
  </w:style>
  <w:style w:type="paragraph" w:styleId="Footer">
    <w:name w:val="footer"/>
    <w:basedOn w:val="Normal"/>
    <w:link w:val="FooterChar"/>
    <w:uiPriority w:val="99"/>
    <w:unhideWhenUsed/>
    <w:rsid w:val="00B66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ABE"/>
  </w:style>
  <w:style w:type="paragraph" w:styleId="BalloonText">
    <w:name w:val="Balloon Text"/>
    <w:basedOn w:val="Normal"/>
    <w:link w:val="BalloonTextChar"/>
    <w:uiPriority w:val="99"/>
    <w:semiHidden/>
    <w:unhideWhenUsed/>
    <w:rsid w:val="0076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12"/>
    <w:rPr>
      <w:rFonts w:ascii="Tahoma" w:hAnsi="Tahoma" w:cs="Tahoma"/>
      <w:sz w:val="16"/>
      <w:szCs w:val="16"/>
    </w:rPr>
  </w:style>
  <w:style w:type="character" w:styleId="CommentReference">
    <w:name w:val="annotation reference"/>
    <w:basedOn w:val="DefaultParagraphFont"/>
    <w:uiPriority w:val="99"/>
    <w:semiHidden/>
    <w:unhideWhenUsed/>
    <w:rsid w:val="00E528BF"/>
    <w:rPr>
      <w:sz w:val="16"/>
      <w:szCs w:val="16"/>
    </w:rPr>
  </w:style>
  <w:style w:type="paragraph" w:styleId="CommentText">
    <w:name w:val="annotation text"/>
    <w:basedOn w:val="Normal"/>
    <w:link w:val="CommentTextChar"/>
    <w:uiPriority w:val="99"/>
    <w:semiHidden/>
    <w:unhideWhenUsed/>
    <w:rsid w:val="00E528BF"/>
    <w:pPr>
      <w:spacing w:line="240" w:lineRule="auto"/>
    </w:pPr>
    <w:rPr>
      <w:sz w:val="20"/>
      <w:szCs w:val="20"/>
    </w:rPr>
  </w:style>
  <w:style w:type="character" w:customStyle="1" w:styleId="CommentTextChar">
    <w:name w:val="Comment Text Char"/>
    <w:basedOn w:val="DefaultParagraphFont"/>
    <w:link w:val="CommentText"/>
    <w:uiPriority w:val="99"/>
    <w:semiHidden/>
    <w:rsid w:val="00E528BF"/>
    <w:rPr>
      <w:sz w:val="20"/>
      <w:szCs w:val="20"/>
    </w:rPr>
  </w:style>
  <w:style w:type="paragraph" w:styleId="CommentSubject">
    <w:name w:val="annotation subject"/>
    <w:basedOn w:val="CommentText"/>
    <w:next w:val="CommentText"/>
    <w:link w:val="CommentSubjectChar"/>
    <w:uiPriority w:val="99"/>
    <w:semiHidden/>
    <w:unhideWhenUsed/>
    <w:rsid w:val="00E528BF"/>
    <w:rPr>
      <w:b/>
      <w:bCs/>
    </w:rPr>
  </w:style>
  <w:style w:type="character" w:customStyle="1" w:styleId="CommentSubjectChar">
    <w:name w:val="Comment Subject Char"/>
    <w:basedOn w:val="CommentTextChar"/>
    <w:link w:val="CommentSubject"/>
    <w:uiPriority w:val="99"/>
    <w:semiHidden/>
    <w:rsid w:val="00E528BF"/>
    <w:rPr>
      <w:b/>
      <w:bCs/>
      <w:sz w:val="20"/>
      <w:szCs w:val="20"/>
    </w:rPr>
  </w:style>
  <w:style w:type="character" w:styleId="Emphasis">
    <w:name w:val="Emphasis"/>
    <w:basedOn w:val="DefaultParagraphFont"/>
    <w:uiPriority w:val="20"/>
    <w:qFormat/>
    <w:rsid w:val="00EB29FD"/>
    <w:rPr>
      <w:b/>
      <w:bCs/>
      <w:i w:val="0"/>
      <w:iCs w:val="0"/>
    </w:rPr>
  </w:style>
  <w:style w:type="character" w:customStyle="1" w:styleId="st1">
    <w:name w:val="st1"/>
    <w:basedOn w:val="DefaultParagraphFont"/>
    <w:rsid w:val="00EB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ndfire.gov/downloadfile.php?file=accuracy_of_cnf_landcover_maps_021612_rld.pdf" TargetMode="External"/><Relationship Id="rId12" Type="http://schemas.openxmlformats.org/officeDocument/2006/relationships/footer" Target="footer1.xml"/><Relationship Id="rId13" Type="http://schemas.openxmlformats.org/officeDocument/2006/relationships/image" Target="media/image1.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rlc.gov/nlcd01_data.php" TargetMode="External"/><Relationship Id="rId9" Type="http://schemas.openxmlformats.org/officeDocument/2006/relationships/hyperlink" Target="http://www.mrlc.gov/nlcd01_data.php" TargetMode="External"/><Relationship Id="rId10" Type="http://schemas.openxmlformats.org/officeDocument/2006/relationships/hyperlink" Target="http://nhd.usgs.gov/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3027</Words>
  <Characters>17260</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20247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USDA Forest Service</dc:creator>
  <cp:lastModifiedBy>Helene Genet</cp:lastModifiedBy>
  <cp:revision>2</cp:revision>
  <dcterms:created xsi:type="dcterms:W3CDTF">2014-09-26T17:15:00Z</dcterms:created>
  <dcterms:modified xsi:type="dcterms:W3CDTF">2014-09-26T17:15:00Z</dcterms:modified>
</cp:coreProperties>
</file>