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2F1D" w14:textId="77777777" w:rsidR="00D6440A" w:rsidRPr="00D6440A" w:rsidRDefault="00D6440A" w:rsidP="00D644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D6440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 xml:space="preserve">IBM® </w:t>
      </w:r>
      <w:proofErr w:type="spellStart"/>
      <w:r w:rsidRPr="00D6440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PureData</w:t>
      </w:r>
      <w:proofErr w:type="spellEnd"/>
      <w:r w:rsidRPr="00D6440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™ System for Analytics, Version 7.2.1</w:t>
      </w:r>
    </w:p>
    <w:p w14:paraId="720A6358" w14:textId="77777777" w:rsidR="00D6440A" w:rsidRPr="00D6440A" w:rsidRDefault="007131B1" w:rsidP="00D644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>
        <w:rPr>
          <w:rFonts w:ascii="Arial" w:eastAsia="Times New Roman" w:hAnsi="Arial" w:cs="Arial"/>
          <w:color w:val="323232"/>
          <w:sz w:val="24"/>
          <w:szCs w:val="24"/>
        </w:rPr>
        <w:pict w14:anchorId="73BBBBC3">
          <v:rect id="_x0000_i1025" style="width:0;height:1.5pt" o:hralign="center" o:hrstd="t" o:hr="t" fillcolor="#a0a0a0" stroked="f"/>
        </w:pict>
      </w:r>
    </w:p>
    <w:p w14:paraId="139211E5" w14:textId="77777777" w:rsidR="00D6440A" w:rsidRPr="00D6440A" w:rsidRDefault="00D6440A" w:rsidP="00D644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D6440A">
        <w:rPr>
          <w:rFonts w:ascii="Arial" w:eastAsia="Times New Roman" w:hAnsi="Arial" w:cs="Arial"/>
          <w:color w:val="323232"/>
          <w:sz w:val="24"/>
          <w:szCs w:val="24"/>
        </w:rPr>
        <w:t xml:space="preserve">The following table lists the supported data types by their preferred name </w:t>
      </w:r>
      <w:proofErr w:type="gramStart"/>
      <w:r w:rsidRPr="00D6440A">
        <w:rPr>
          <w:rFonts w:ascii="Arial" w:eastAsia="Times New Roman" w:hAnsi="Arial" w:cs="Arial"/>
          <w:color w:val="323232"/>
          <w:sz w:val="24"/>
          <w:szCs w:val="24"/>
        </w:rPr>
        <w:t>form, and</w:t>
      </w:r>
      <w:proofErr w:type="gramEnd"/>
      <w:r w:rsidRPr="00D6440A">
        <w:rPr>
          <w:rFonts w:ascii="Arial" w:eastAsia="Times New Roman" w:hAnsi="Arial" w:cs="Arial"/>
          <w:color w:val="323232"/>
          <w:sz w:val="24"/>
          <w:szCs w:val="24"/>
        </w:rPr>
        <w:t xml:space="preserve"> includes supported aliases and some notes about the values. For more information about the data types and values, see the </w:t>
      </w:r>
      <w:r w:rsidRPr="00D6440A">
        <w:rPr>
          <w:rFonts w:ascii="Arial" w:eastAsia="Times New Roman" w:hAnsi="Arial" w:cs="Arial"/>
          <w:i/>
          <w:iCs/>
          <w:color w:val="323232"/>
          <w:sz w:val="24"/>
          <w:szCs w:val="24"/>
          <w:bdr w:val="none" w:sz="0" w:space="0" w:color="auto" w:frame="1"/>
        </w:rPr>
        <w:t>IBM Netezza Database User’s Guide</w:t>
      </w:r>
      <w:r w:rsidRPr="00D6440A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90"/>
        <w:gridCol w:w="1884"/>
        <w:gridCol w:w="5770"/>
      </w:tblGrid>
      <w:tr w:rsidR="00D6440A" w:rsidRPr="00D6440A" w14:paraId="2CC66107" w14:textId="77777777" w:rsidTr="00D6440A">
        <w:trPr>
          <w:tblHeader/>
        </w:trPr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C53975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3A3157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Alias names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83CFC5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D6440A" w:rsidRPr="00D6440A" w14:paraId="333116FD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526AE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9B294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4E20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can store true values, false values, and null. You can use the following words to specify </w:t>
            </w:r>
            <w:proofErr w:type="spellStart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booleans</w:t>
            </w:r>
            <w:proofErr w:type="spell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44F4583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true or false</w:t>
            </w:r>
          </w:p>
          <w:p w14:paraId="302A83D0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on or off</w:t>
            </w:r>
          </w:p>
          <w:p w14:paraId="6A0F9881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‘0’ or ‘1’</w:t>
            </w:r>
          </w:p>
          <w:p w14:paraId="735A73D0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'true’ or ‘false’</w:t>
            </w:r>
          </w:p>
          <w:p w14:paraId="7019E26E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‘t’ or ‘f’</w:t>
            </w:r>
          </w:p>
          <w:p w14:paraId="2C107725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‘on’ or ‘off’</w:t>
            </w:r>
          </w:p>
          <w:p w14:paraId="0EB7908C" w14:textId="77777777" w:rsidR="00D6440A" w:rsidRPr="00D6440A" w:rsidRDefault="00D6440A" w:rsidP="00D6440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  <w:t>‘yes’ or ‘no’</w:t>
            </w:r>
          </w:p>
        </w:tc>
      </w:tr>
      <w:tr w:rsidR="00D6440A" w:rsidRPr="00D6440A" w14:paraId="2C23150D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BB05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9D26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CHARACTER, CHAR(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CHARACTER(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A7625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string, blank padded to length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 If you do not specify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 the default is an unsized CHAR value. The maximum character string size is 64,000.</w:t>
            </w:r>
          </w:p>
        </w:tc>
      </w:tr>
      <w:tr w:rsidR="00D6440A" w:rsidRPr="00D6440A" w14:paraId="6AFA1E3D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B62A0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68DE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VARYING, VARCHAR(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CHARACTER VARYING(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CHAR VARYING(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AF73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length character string to a maximum length of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 If you do not specify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 the default is an unsized VARCHAR value. There is no blank padding, and the value is stored as entered. The maximum character string size is 64,000.</w:t>
            </w:r>
          </w:p>
        </w:tc>
      </w:tr>
      <w:tr w:rsidR="00D6440A" w:rsidRPr="00D6440A" w14:paraId="6F016ADC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70BA4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6414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CHARACTER, NATIONAL CHAR(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NCHAR(size)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26108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character string, blank padded to length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 If you do not specify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 the default is an unsized NCHAR value. The maximum length is 16,000 characters.</w:t>
            </w:r>
          </w:p>
        </w:tc>
      </w:tr>
      <w:tr w:rsidR="00D6440A" w:rsidRPr="00D6440A" w14:paraId="27B3EFD3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D7CF9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02A76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CHARACTER VARYING, NATIONAL CHAR VARYING, NATIONAL CHAR VARYING(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NATIONAL CHARACTER VARYING(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NVARCHAR(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9A7B7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Variable length character string to a maximum length of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 If you do not specify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n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 the default is an unsized NVARCHAR value. The maximum length is 16,000 characters.</w:t>
            </w:r>
          </w:p>
        </w:tc>
      </w:tr>
      <w:tr w:rsidR="00D6440A" w:rsidRPr="00D6440A" w14:paraId="6F037D43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42B0C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44A71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8BE26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day with resolution that spans January 1, 0001 to December 31, 9999 (centered around 2000-01-01).</w:t>
            </w:r>
          </w:p>
        </w:tc>
      </w:tr>
      <w:tr w:rsidR="00D6440A" w:rsidRPr="00D6440A" w14:paraId="5ABD264A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5BC9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33650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7847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Has a date part and a time part, with seconds stored to 6 decimal positions. The value represents the number of microseconds since midnight 2000-01-01.</w:t>
            </w:r>
          </w:p>
          <w:p w14:paraId="02A278B2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Min: -63,082,281,600,000,000 (00:00:00, 1/1/0001)</w:t>
            </w:r>
          </w:p>
          <w:p w14:paraId="2DFCEA81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Max: 252,455,615,999,999,999 (23:59:59.999999, 12/31/9999)</w:t>
            </w:r>
          </w:p>
        </w:tc>
      </w:tr>
      <w:tr w:rsidR="00D6440A" w:rsidRPr="00D6440A" w14:paraId="7F10BB9B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2C40B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7A7B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 WITHOUT TIME ZONE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93F5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Hours, minutes, and seconds to 6 decimal positions, ranging from 00:00:00.000000 to 23:59:59.999999. This value is microsecond resolution that represents the time of day only (midnight to one microsecond before midnight).</w:t>
            </w:r>
          </w:p>
        </w:tc>
      </w:tr>
      <w:tr w:rsidR="00D6440A" w:rsidRPr="00D6440A" w14:paraId="15A0995E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A2E0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3D09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TIMESPAN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58D0B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An interval of time. It has microsecond resolution and ranges from +/- 178000000 years. The time part represents everything but months and years (microseconds) and the month part represents months and years. For more information, see the section on 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IBM® Netezza®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interval support in the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IBM Netezza Database User’s Guide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440A" w:rsidRPr="00D6440A" w14:paraId="28C7F86F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871BB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 WITH TIME ZONE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FF0D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TIMETZ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6729E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Hours, minutes, seconds to 6 decimal positions, and time zone offset from GMT. Ranging from 00:00:00.000000+13:00 to 23:59:59.999999-12:59.</w:t>
            </w:r>
          </w:p>
        </w:tc>
      </w:tr>
      <w:tr w:rsidR="00D6440A" w:rsidRPr="00D6440A" w14:paraId="6F29A306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2766B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spellStart"/>
            <w:proofErr w:type="gramStart"/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p,s</w:t>
            </w:r>
            <w:proofErr w:type="spellEnd"/>
            <w:proofErr w:type="gram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5B445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NUMERIC, DEC, DEC(</w:t>
            </w:r>
            <w:proofErr w:type="spellStart"/>
            <w:proofErr w:type="gramStart"/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p,s</w:t>
            </w:r>
            <w:proofErr w:type="spellEnd"/>
            <w:proofErr w:type="gram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DECIMAL(</w:t>
            </w:r>
            <w:proofErr w:type="spellStart"/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p,s</w:t>
            </w:r>
            <w:proofErr w:type="spell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DECIMAL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1AD4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Fixed-point numeric types with precision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and scale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s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. Precision can range from 1 to 38, scale from 0 to the precision.</w:t>
            </w:r>
          </w:p>
          <w:p w14:paraId="58108FEC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 is equivalent to NUMERIC(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,0).</w:t>
            </w:r>
          </w:p>
          <w:p w14:paraId="0E6E2D80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NUMERIC is an unsized numeric value.</w:t>
            </w:r>
          </w:p>
          <w:p w14:paraId="33D43608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Although decimal is sometimes a distinct SQL data type, 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Netezza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SQL treats it as an alias for NUMERIC.</w:t>
            </w:r>
          </w:p>
        </w:tc>
      </w:tr>
      <w:tr w:rsidR="00D6440A" w:rsidRPr="00D6440A" w14:paraId="4F4CB0BE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02061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7052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FLOAT(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FLOAT4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E6450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 number with precision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Precision values of 1 to 6 are equivalent to </w:t>
            </w:r>
            <w:proofErr w:type="gramStart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FLOAT(</w:t>
            </w:r>
            <w:proofErr w:type="gramEnd"/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6), and are stored as a 4-byte value.</w:t>
            </w:r>
          </w:p>
          <w:p w14:paraId="07FB5085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Netezza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SQL prefers the type name real, as float(p) is considered more of an alias for the preferred form.</w:t>
            </w:r>
          </w:p>
        </w:tc>
      </w:tr>
      <w:tr w:rsidR="00D6440A" w:rsidRPr="00D6440A" w14:paraId="074FF940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54C3A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DOUBLE PRECISION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A39CA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DOUBLE, FLOAT, 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FLOAT(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), FLOAT8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7E9BA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Floating point number with precision </w:t>
            </w:r>
            <w:r w:rsidRPr="00D6440A">
              <w:rPr>
                <w:rFonts w:ascii="Times New Roman" w:eastAsia="Times New Roman" w:hAnsi="Times New Roman" w:cs="Times New Roman"/>
                <w:i/>
                <w:iCs/>
                <w:color w:val="5A5A5A"/>
                <w:sz w:val="24"/>
                <w:szCs w:val="24"/>
                <w:bdr w:val="none" w:sz="0" w:space="0" w:color="auto" w:frame="1"/>
              </w:rPr>
              <w:t>p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, from 7 to 14. Precision values 7 - 14 are equivalent to 14 and are stored as an 8-byte value.</w:t>
            </w:r>
          </w:p>
          <w:p w14:paraId="038E5B44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Netezza</w:t>
            </w: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 SQL prefers the type name double precision, as float(p) is considered more of an alias for the preferred form.</w:t>
            </w:r>
          </w:p>
        </w:tc>
      </w:tr>
      <w:tr w:rsidR="00D6440A" w:rsidRPr="00D6440A" w14:paraId="29157E25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9D2E9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CF322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INT, INT4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84BED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32-bit values in range –2,147,483,648 to 2,147,483,647</w:t>
            </w:r>
          </w:p>
        </w:tc>
      </w:tr>
      <w:tr w:rsidR="00D6440A" w:rsidRPr="00D6440A" w14:paraId="4EE439FA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50A0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BYTEINT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DF440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INT1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008F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8-bit values in the range –128 to 127</w:t>
            </w:r>
          </w:p>
        </w:tc>
      </w:tr>
      <w:tr w:rsidR="00D6440A" w:rsidRPr="00D6440A" w14:paraId="03580888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114A6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1DC3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INT2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97DB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16-bit values in range –32,768 to 32,767</w:t>
            </w:r>
          </w:p>
        </w:tc>
      </w:tr>
      <w:tr w:rsidR="00D6440A" w:rsidRPr="00D6440A" w14:paraId="2AF4BB69" w14:textId="77777777" w:rsidTr="00D6440A">
        <w:tc>
          <w:tcPr>
            <w:tcW w:w="7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C0E57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EFDA3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INT8</w:t>
            </w:r>
          </w:p>
        </w:tc>
        <w:tc>
          <w:tcPr>
            <w:tcW w:w="32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554D8" w14:textId="77777777" w:rsidR="00D6440A" w:rsidRPr="00D6440A" w:rsidRDefault="00D6440A" w:rsidP="00D6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sz w:val="24"/>
                <w:szCs w:val="24"/>
              </w:rPr>
              <w:t>64-bit values in range -9,223,372,036,854,775,808 to 9,223,372,036,854,775,807</w:t>
            </w:r>
          </w:p>
        </w:tc>
      </w:tr>
      <w:tr w:rsidR="00D6440A" w:rsidRPr="00D6440A" w14:paraId="1DA6C337" w14:textId="77777777" w:rsidTr="00D6440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675ED" w14:textId="77777777" w:rsidR="00D6440A" w:rsidRPr="00D6440A" w:rsidRDefault="00D6440A" w:rsidP="00D644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644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Table 1. Supported data types for variables</w:t>
            </w:r>
          </w:p>
        </w:tc>
      </w:tr>
    </w:tbl>
    <w:p w14:paraId="219BDEB6" w14:textId="0127AACC" w:rsidR="009507E2" w:rsidRDefault="009507E2"/>
    <w:p w14:paraId="69D00A21" w14:textId="5C3EBA07" w:rsidR="007131B1" w:rsidRDefault="007131B1">
      <w:r>
        <w:t xml:space="preserve">Reference Site: </w:t>
      </w:r>
    </w:p>
    <w:p w14:paraId="3C085B65" w14:textId="28C0A2A4" w:rsidR="007131B1" w:rsidRDefault="007131B1">
      <w:hyperlink r:id="rId5" w:history="1">
        <w:r w:rsidRPr="001F7E6F">
          <w:rPr>
            <w:rStyle w:val="Hyperlink"/>
          </w:rPr>
          <w:t>https://www.ibm.com/support/knowledgecenter/en/SSULQD_7.2.1/com.ibm.nz.sproc.doc/c_sproc_data_types_aliases.html</w:t>
        </w:r>
      </w:hyperlink>
    </w:p>
    <w:p w14:paraId="03EF017B" w14:textId="77777777" w:rsidR="007131B1" w:rsidRDefault="007131B1">
      <w:bookmarkStart w:id="0" w:name="_GoBack"/>
      <w:bookmarkEnd w:id="0"/>
    </w:p>
    <w:sectPr w:rsidR="0071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6955"/>
    <w:multiLevelType w:val="multilevel"/>
    <w:tmpl w:val="58E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A"/>
    <w:rsid w:val="007131B1"/>
    <w:rsid w:val="009507E2"/>
    <w:rsid w:val="00D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0564"/>
  <w15:chartTrackingRefBased/>
  <w15:docId w15:val="{6ABB114B-BD46-4AE1-BE1F-B45474DC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440A"/>
    <w:rPr>
      <w:b/>
      <w:bCs/>
    </w:rPr>
  </w:style>
  <w:style w:type="paragraph" w:customStyle="1" w:styleId="p">
    <w:name w:val="p"/>
    <w:basedOn w:val="Normal"/>
    <w:rsid w:val="00D6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6440A"/>
    <w:rPr>
      <w:i/>
      <w:iCs/>
    </w:rPr>
  </w:style>
  <w:style w:type="character" w:customStyle="1" w:styleId="tablecap">
    <w:name w:val="tablecap"/>
    <w:basedOn w:val="DefaultParagraphFont"/>
    <w:rsid w:val="00D6440A"/>
  </w:style>
  <w:style w:type="character" w:styleId="HTMLVariable">
    <w:name w:val="HTML Variable"/>
    <w:basedOn w:val="DefaultParagraphFont"/>
    <w:uiPriority w:val="99"/>
    <w:semiHidden/>
    <w:unhideWhenUsed/>
    <w:rsid w:val="00D6440A"/>
    <w:rPr>
      <w:i/>
      <w:iCs/>
    </w:rPr>
  </w:style>
  <w:style w:type="character" w:customStyle="1" w:styleId="keyword">
    <w:name w:val="keyword"/>
    <w:basedOn w:val="DefaultParagraphFont"/>
    <w:rsid w:val="00D6440A"/>
  </w:style>
  <w:style w:type="character" w:styleId="Hyperlink">
    <w:name w:val="Hyperlink"/>
    <w:basedOn w:val="DefaultParagraphFont"/>
    <w:uiPriority w:val="99"/>
    <w:unhideWhenUsed/>
    <w:rsid w:val="00713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1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support/knowledgecenter/en/SSULQD_7.2.1/com.ibm.nz.sproc.doc/c_sproc_data_types_ali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Earthermakovsky C.</dc:creator>
  <cp:keywords/>
  <dc:description/>
  <cp:lastModifiedBy>Earthermakovsky C.</cp:lastModifiedBy>
  <cp:revision>2</cp:revision>
  <dcterms:created xsi:type="dcterms:W3CDTF">2018-05-23T03:26:00Z</dcterms:created>
  <dcterms:modified xsi:type="dcterms:W3CDTF">2018-05-23T03:27:00Z</dcterms:modified>
</cp:coreProperties>
</file>