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07FA2">
      <w:pPr>
        <w:pStyle w:val="31"/>
        <w:jc w:val="center"/>
      </w:pPr>
      <w:r>
        <w:t>智能</w:t>
      </w:r>
      <w:r>
        <w:rPr>
          <w:rFonts w:hint="eastAsia" w:eastAsia="宋体"/>
          <w:lang w:val="en-US" w:eastAsia="zh-CN"/>
        </w:rPr>
        <w:t>膳食规划</w:t>
      </w:r>
      <w:r>
        <w:t xml:space="preserve">系统 - </w:t>
      </w:r>
    </w:p>
    <w:p w14:paraId="06AAD6F4">
      <w:pPr>
        <w:pStyle w:val="31"/>
        <w:jc w:val="center"/>
      </w:pPr>
      <w:r>
        <w:t>安装部署手册</w:t>
      </w:r>
    </w:p>
    <w:p w14:paraId="74591C7D">
      <w:pPr>
        <w:pStyle w:val="3"/>
      </w:pPr>
      <w:r>
        <w:t>1. 环境要求</w:t>
      </w:r>
    </w:p>
    <w:p w14:paraId="37B2B985">
      <w:r>
        <w:t>在开始安装前，请确保您的计算机满足以下要求：</w:t>
      </w:r>
    </w:p>
    <w:p w14:paraId="7F304630">
      <w:pPr>
        <w:pStyle w:val="16"/>
      </w:pPr>
      <w:r>
        <w:t>操作系统: Windows 10/11 (64位)，需开启 WSL 2 功能。</w:t>
      </w:r>
    </w:p>
    <w:p w14:paraId="12F9C14C">
      <w:pPr>
        <w:pStyle w:val="16"/>
      </w:pPr>
      <w:r>
        <w:t>硬件加速: 推荐使用 NVIDIA GPU (如 RTX 30/40 系列) 以获得最佳搜索体验。</w:t>
      </w:r>
    </w:p>
    <w:p w14:paraId="628D30CD">
      <w:pPr>
        <w:pStyle w:val="16"/>
      </w:pPr>
      <w:r>
        <w:t>前端环境: Node.js v18.0.0+ (推荐 v20+), pnpm v10+。</w:t>
      </w:r>
    </w:p>
    <w:p w14:paraId="7E4E720D">
      <w:pPr>
        <w:pStyle w:val="16"/>
      </w:pPr>
      <w:r>
        <w:t>后端环境: Python 3.10+, 必须支持 PyTorch 2.4.0+。</w:t>
      </w:r>
    </w:p>
    <w:p w14:paraId="753B3FC4">
      <w:pPr>
        <w:pStyle w:val="16"/>
      </w:pPr>
      <w:r>
        <w:t>必备软件: Docker Desktop v20.10.0+ (需配置为 WSL 2 后端) 以及 NVIDIA Container Toolkit。</w:t>
      </w:r>
    </w:p>
    <w:p w14:paraId="7F22BD36">
      <w:pPr>
        <w:pStyle w:val="16"/>
      </w:pPr>
      <w:r>
        <w:t>网络代理: 建议准备稳定的代理环境（如 Clash），用于拉取 AI 模型及相关依赖镜像。</w:t>
      </w:r>
    </w:p>
    <w:p w14:paraId="567B5F4B">
      <w:pPr>
        <w:pStyle w:val="3"/>
      </w:pPr>
      <w:r>
        <w:t>2. 快速安装步骤</w:t>
      </w:r>
    </w:p>
    <w:p w14:paraId="0FC64E7B">
      <w:r>
        <w:t>项目集成了 PowerShell 自动化脚本，可一键完成环境检查、镜像构建及服务启动。</w:t>
      </w:r>
    </w:p>
    <w:p w14:paraId="51BEA452">
      <w:pPr>
        <w:pStyle w:val="4"/>
      </w:pPr>
      <w:r>
        <w:t>第一步：克隆代码</w:t>
      </w:r>
    </w:p>
    <w:p w14:paraId="6ECCEBBD">
      <w:pPr>
        <w:pStyle w:val="2"/>
      </w:pPr>
      <w:r>
        <w:t xml:space="preserve">git clone </w:t>
      </w:r>
      <w:r>
        <w:rPr>
          <w:rFonts w:hint="eastAsia"/>
        </w:rPr>
        <w:t>https://github.com/skyhuang233/v0-ingredient-search-page</w:t>
      </w:r>
      <w:r>
        <w:br w:type="textWrapping"/>
      </w:r>
      <w:r>
        <w:t>cd v0-ingredient-search-page-main</w:t>
      </w:r>
    </w:p>
    <w:p w14:paraId="58DAB627">
      <w:pPr>
        <w:pStyle w:val="4"/>
      </w:pPr>
      <w:r>
        <w:t>第二步：配置环境变量</w:t>
      </w:r>
    </w:p>
    <w:p w14:paraId="1E775CD4">
      <w:r>
        <w:t>1. 在项目根目录下，将 .env.example 复制并重命名为 .env.local。</w:t>
      </w:r>
    </w:p>
    <w:p w14:paraId="63484B8F">
      <w:pPr>
        <w:pStyle w:val="16"/>
        <w:numPr>
          <w:ilvl w:val="0"/>
          <w:numId w:val="0"/>
        </w:numPr>
        <w:ind w:leftChars="0"/>
      </w:pPr>
      <w:r>
        <w:t>2. 编辑 .env.local，填入以下必要信息：</w:t>
      </w:r>
    </w:p>
    <w:p w14:paraId="62A73823">
      <w:pPr>
        <w:pStyle w:val="16"/>
      </w:pPr>
      <w:r>
        <w:t>GOOGLE_API_KEY: 您的 Gemini API 密钥。</w:t>
      </w:r>
      <w:r>
        <w:rPr>
          <w:rFonts w:hint="eastAsia" w:eastAsia="宋体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"https://ai.google.dev/aistudio?hl=zh-cn"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6"/>
          <w:rFonts w:ascii="宋体" w:hAnsi="宋体" w:eastAsia="宋体" w:cs="宋体"/>
          <w:sz w:val="24"/>
          <w:szCs w:val="24"/>
        </w:rPr>
        <w:t>Google AI Studio | Gemini API  |  Google AI for Developers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eastAsia="宋体"/>
          <w:lang w:eastAsia="zh-CN"/>
        </w:rPr>
        <w:t>）</w:t>
      </w:r>
    </w:p>
    <w:p w14:paraId="7A88A7B8">
      <w:pPr>
        <w:pStyle w:val="16"/>
      </w:pPr>
      <w:r>
        <w:t>SUPABASE_SERVICE_KEY: 您的数据库服务密钥。</w:t>
      </w:r>
      <w:r>
        <w:rPr>
          <w:rFonts w:hint="eastAsia" w:eastAsia="宋体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"https://supabase.com/"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4"/>
          <w:rFonts w:ascii="宋体" w:hAnsi="宋体" w:eastAsia="宋体" w:cs="宋体"/>
          <w:sz w:val="24"/>
          <w:szCs w:val="24"/>
        </w:rPr>
        <w:t>Supabase | The Postgres Development Platform.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eastAsia="宋体"/>
          <w:lang w:eastAsia="zh-CN"/>
        </w:rPr>
        <w:t>）</w:t>
      </w:r>
    </w:p>
    <w:p w14:paraId="49888AC5">
      <w:pPr>
        <w:pStyle w:val="16"/>
      </w:pPr>
      <w:r>
        <w:t>MODEL_DIR: 指定为您存放 AI 模型的本地绝对路径（如 D:/models</w:t>
      </w:r>
      <w:r>
        <w:rPr>
          <w:rFonts w:hint="eastAsia" w:eastAsia="宋体"/>
          <w:lang w:val="en-US" w:eastAsia="zh-CN"/>
        </w:rPr>
        <w:t>/Qwen</w:t>
      </w:r>
      <w:r>
        <w:t>）。</w:t>
      </w:r>
    </w:p>
    <w:p w14:paraId="126CD1A1">
      <w:pPr>
        <w:pStyle w:val="4"/>
      </w:pPr>
      <w:r>
        <w:t>第三步：放置模型文件</w:t>
      </w:r>
    </w:p>
    <w:p w14:paraId="7E422657">
      <w:r>
        <w:t>请确保您的 MODEL_DIR 路径下包含以下模型文件夹：</w:t>
      </w:r>
    </w:p>
    <w:p w14:paraId="37E322B7">
      <w:pPr>
        <w:pStyle w:val="16"/>
      </w:pPr>
      <w:r>
        <w:t>Qwen3-Embedding-0.6B/ (包含权重文件)</w:t>
      </w:r>
    </w:p>
    <w:p w14:paraId="6CA61540">
      <w:pPr>
        <w:pStyle w:val="16"/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注意！文件夹名称必须是“</w:t>
      </w:r>
      <w:r>
        <w:t>Qwen3-Embedding-0.6B</w:t>
      </w:r>
      <w:r>
        <w:rPr>
          <w:rFonts w:hint="eastAsia" w:eastAsia="宋体"/>
          <w:lang w:val="en-US" w:eastAsia="zh-CN"/>
        </w:rPr>
        <w:t>”，如果不是则需要修改。</w:t>
      </w:r>
    </w:p>
    <w:p w14:paraId="51DB76BF">
      <w:pPr>
        <w:pStyle w:val="4"/>
        <w:rPr>
          <w:rFonts w:hint="default" w:eastAsia="宋体"/>
          <w:lang w:val="en-US" w:eastAsia="zh-CN"/>
        </w:rPr>
      </w:pPr>
      <w:r>
        <w:t>第四步：</w:t>
      </w:r>
      <w:r>
        <w:rPr>
          <w:rFonts w:hint="eastAsia" w:eastAsia="宋体"/>
          <w:lang w:val="en-US" w:eastAsia="zh-CN"/>
        </w:rPr>
        <w:t>放置数据集文件</w:t>
      </w:r>
    </w:p>
    <w:p w14:paraId="3AC238B0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在项目根目录下创建data文件夹</w:t>
      </w:r>
    </w:p>
    <w:p w14:paraId="253C76A6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点击README文件中谷歌云盘网址，下载dataset.zip文件</w:t>
      </w:r>
    </w:p>
    <w:p w14:paraId="1E876241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解压缩dataset文件，将dataset文件夹下的所有文件复制粘贴至项目根目录下的data文件夹</w:t>
      </w:r>
    </w:p>
    <w:p w14:paraId="3494A0D9">
      <w:pPr>
        <w:pStyle w:val="4"/>
      </w:pPr>
      <w:r>
        <w:t>第</w:t>
      </w:r>
      <w:r>
        <w:rPr>
          <w:rFonts w:hint="eastAsia" w:eastAsia="宋体"/>
          <w:lang w:val="en-US" w:eastAsia="zh-CN"/>
        </w:rPr>
        <w:t>五</w:t>
      </w:r>
      <w:bookmarkStart w:id="0" w:name="_GoBack"/>
      <w:bookmarkEnd w:id="0"/>
      <w:r>
        <w:t>步：执行一键部署</w:t>
      </w:r>
    </w:p>
    <w:p w14:paraId="63762D78">
      <w:r>
        <w:t>以管理员身份打开 PowerShell，在根目录下运行以下命令：</w:t>
      </w:r>
    </w:p>
    <w:p w14:paraId="45523DA2">
      <w:pPr>
        <w:pStyle w:val="2"/>
      </w:pPr>
      <w:r>
        <w:t>powershell -ExecutionPolicy Bypass -File .\deploy.ps1</w:t>
      </w:r>
    </w:p>
    <w:p w14:paraId="28B3FF54">
      <w:pPr>
        <w:pStyle w:val="3"/>
      </w:pPr>
      <w:r>
        <w:t>3. 验证与访问</w:t>
      </w:r>
    </w:p>
    <w:p w14:paraId="04C542E5">
      <w:r>
        <w:t>服务启动完成后，可以通过以下方式验证：</w:t>
      </w:r>
    </w:p>
    <w:p w14:paraId="19D413C2">
      <w:pPr>
        <w:pStyle w:val="16"/>
      </w:pPr>
      <w:r>
        <w:t>前端界面: 访问 http://localhost:3000</w:t>
      </w:r>
    </w:p>
    <w:p w14:paraId="3F54BC45">
      <w:pPr>
        <w:pStyle w:val="16"/>
      </w:pPr>
      <w:r>
        <w:t>后端 API 健康检查: 访问 http://localhost:8000/health，若返回 status: "healthy" 则表示 AI 推荐引擎已就绪。</w:t>
      </w:r>
    </w:p>
    <w:p w14:paraId="032E4AA5">
      <w:pPr>
        <w:pStyle w:val="3"/>
      </w:pPr>
      <w:r>
        <w:t>4. 配置说明 (.env.local)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2"/>
        <w:gridCol w:w="3406"/>
        <w:gridCol w:w="2658"/>
      </w:tblGrid>
      <w:tr w14:paraId="15B8A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DCFB3C">
            <w:r>
              <w:t>配置项</w:t>
            </w:r>
          </w:p>
        </w:tc>
        <w:tc>
          <w:tcPr>
            <w:tcW w:w="2880" w:type="dxa"/>
          </w:tcPr>
          <w:p w14:paraId="4AAAB0F7">
            <w:r>
              <w:t>说明</w:t>
            </w:r>
          </w:p>
        </w:tc>
        <w:tc>
          <w:tcPr>
            <w:tcW w:w="2880" w:type="dxa"/>
          </w:tcPr>
          <w:p w14:paraId="664C1D32">
            <w:r>
              <w:t>是否必填</w:t>
            </w:r>
          </w:p>
        </w:tc>
      </w:tr>
      <w:tr w14:paraId="7E7F7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7F460C">
            <w:r>
              <w:t>MODEL_DIR</w:t>
            </w:r>
          </w:p>
        </w:tc>
        <w:tc>
          <w:tcPr>
            <w:tcW w:w="2880" w:type="dxa"/>
          </w:tcPr>
          <w:p w14:paraId="775F9CF5">
            <w:r>
              <w:t>本地 AI 模型存放路径</w:t>
            </w:r>
          </w:p>
        </w:tc>
        <w:tc>
          <w:tcPr>
            <w:tcW w:w="2880" w:type="dxa"/>
          </w:tcPr>
          <w:p w14:paraId="74584B93">
            <w:r>
              <w:t>是</w:t>
            </w:r>
          </w:p>
        </w:tc>
      </w:tr>
      <w:tr w14:paraId="1DD51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85CD9">
            <w:r>
              <w:t>GOOGLE_API_KEY</w:t>
            </w:r>
          </w:p>
        </w:tc>
        <w:tc>
          <w:tcPr>
            <w:tcW w:w="2880" w:type="dxa"/>
          </w:tcPr>
          <w:p w14:paraId="4ABB26A8">
            <w:r>
              <w:t>用于食材识别和智能对话的 Gemini 密钥</w:t>
            </w:r>
          </w:p>
        </w:tc>
        <w:tc>
          <w:tcPr>
            <w:tcW w:w="2880" w:type="dxa"/>
          </w:tcPr>
          <w:p w14:paraId="0A5C0C39">
            <w:r>
              <w:t>是</w:t>
            </w:r>
          </w:p>
        </w:tc>
      </w:tr>
      <w:tr w14:paraId="74BF7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97E741">
            <w:r>
              <w:t>SUPABASE_URL</w:t>
            </w:r>
          </w:p>
        </w:tc>
        <w:tc>
          <w:tcPr>
            <w:tcW w:w="2880" w:type="dxa"/>
          </w:tcPr>
          <w:p w14:paraId="41BA35EE">
            <w:r>
              <w:t>云数据库访问地址</w:t>
            </w:r>
          </w:p>
        </w:tc>
        <w:tc>
          <w:tcPr>
            <w:tcW w:w="2880" w:type="dxa"/>
          </w:tcPr>
          <w:p w14:paraId="5E1D5F61">
            <w:r>
              <w:t>是</w:t>
            </w:r>
          </w:p>
        </w:tc>
      </w:tr>
      <w:tr w14:paraId="0FDB2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D96E67">
            <w:r>
              <w:t>HTTP_PROXY</w:t>
            </w:r>
          </w:p>
        </w:tc>
        <w:tc>
          <w:tcPr>
            <w:tcW w:w="2880" w:type="dxa"/>
          </w:tcPr>
          <w:p w14:paraId="76B7749C">
            <w:r>
              <w:t>国内环境构建建议配置代理地址 (如 http://host.docker.internal:7897)</w:t>
            </w:r>
          </w:p>
        </w:tc>
        <w:tc>
          <w:tcPr>
            <w:tcW w:w="2880" w:type="dxa"/>
          </w:tcPr>
          <w:p w14:paraId="36F5D850">
            <w:r>
              <w:t>否</w:t>
            </w:r>
          </w:p>
        </w:tc>
      </w:tr>
    </w:tbl>
    <w:p w14:paraId="7E9F62C5">
      <w:pPr>
        <w:pStyle w:val="3"/>
      </w:pPr>
      <w:r>
        <w:t>5. 常见问题及解决方法 (FAQ)</w:t>
      </w:r>
    </w:p>
    <w:p w14:paraId="61C5035B">
      <w:pPr>
        <w:pStyle w:val="4"/>
      </w:pPr>
      <w:r>
        <w:t>问题 1：启动时提示 "no driver store paths found" 或 GPU 无法识别</w:t>
      </w:r>
    </w:p>
    <w:p w14:paraId="49D42E2C">
      <w:r>
        <w:t>原因：WSL2 的显卡驱动挂载出现异常。</w:t>
      </w:r>
      <w:r>
        <w:br w:type="textWrapping"/>
      </w:r>
      <w:r>
        <w:t>解决方法：在 PowerShell 运行 wsl --shutdown，然后重启 Docker Desktop 即可恢复。</w:t>
      </w:r>
    </w:p>
    <w:p w14:paraId="3670D2F0">
      <w:pPr>
        <w:pStyle w:val="4"/>
      </w:pPr>
      <w:r>
        <w:t>问题 2：构建前端镜像时卡在 Google 字体下载</w:t>
      </w:r>
    </w:p>
    <w:p w14:paraId="4F327250">
      <w:r>
        <w:t>原因：Next.js 构建阶段尝试连接外网下载字体，受代理解析限制导致失败。</w:t>
      </w:r>
      <w:r>
        <w:br w:type="textWrapping"/>
      </w:r>
      <w:r>
        <w:t>解决方法：本项目已在 layout.tsx 中禁用了字体预加载。请确保代理软件已开启“增强模式 (TUN Mode)”。</w:t>
      </w:r>
    </w:p>
    <w:p w14:paraId="090D0D63">
      <w:pPr>
        <w:pStyle w:val="4"/>
      </w:pPr>
      <w:r>
        <w:t>问题 3：C 盘空间不足</w:t>
      </w:r>
    </w:p>
    <w:p w14:paraId="540CFCF2">
      <w:r>
        <w:t>原因：AI 镜像（含 CUDA 和 Torch 2.5）体积较大（约 10GB+）。</w:t>
      </w:r>
      <w:r>
        <w:br w:type="textWrapping"/>
      </w:r>
      <w:r>
        <w:t>解决方法：执行 docker system prune -a 清理冗余，或在 Docker 设置中将数据存储目录迁移至 D 盘。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2F459"/>
    <w:multiLevelType w:val="singleLevel"/>
    <w:tmpl w:val="93A2F4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90C16"/>
    <w:rsid w:val="02DB3389"/>
    <w:rsid w:val="0AF1687E"/>
    <w:rsid w:val="0E4F1016"/>
    <w:rsid w:val="1C8F0CD7"/>
    <w:rsid w:val="3D025FA9"/>
    <w:rsid w:val="47D675DA"/>
    <w:rsid w:val="4E0F5976"/>
    <w:rsid w:val="58C90942"/>
    <w:rsid w:val="58F92290"/>
    <w:rsid w:val="7346211D"/>
    <w:rsid w:val="7579011B"/>
    <w:rsid w:val="78D618F7"/>
    <w:rsid w:val="7AB5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801</Words>
  <Characters>1510</Characters>
  <Lines>0</Lines>
  <Paragraphs>0</Paragraphs>
  <TotalTime>8</TotalTime>
  <ScaleCrop>false</ScaleCrop>
  <LinksUpToDate>false</LinksUpToDate>
  <CharactersWithSpaces>1661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靥無</cp:lastModifiedBy>
  <dcterms:modified xsi:type="dcterms:W3CDTF">2026-04-02T16:01:59Z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eyJoZGlkIjoiZTk4MTg5M2FkOGVjNTM3ODIxM2IwZTJiZDBhMjg0MDQiLCJ1c2VySWQiOiIxNjM2MTc1ODE1In0=</vt:lpwstr>
  </property>
  <property fmtid="{D5CDD505-2E9C-101B-9397-08002B2CF9AE}" pid="3" name="KSOProductBuildVer">
    <vt:lpwstr>2052-12.1.0.25225</vt:lpwstr>
  </property>
  <property fmtid="{D5CDD505-2E9C-101B-9397-08002B2CF9AE}" pid="4" name="ICV">
    <vt:lpwstr>ECE70520673D4E559C730FDE804805F7_12</vt:lpwstr>
  </property>
</Properties>
</file>