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341B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针对沪教版高中数学的交互式数字化教具聚合平台研发与架构深度研究报告</w:t>
      </w:r>
    </w:p>
    <w:p w14:paraId="6C61A7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引言与教育数字化转型背景的深度剖析</w:t>
      </w:r>
    </w:p>
    <w:p w14:paraId="0B3DC89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全球教育数字化转型的宏大浪潮中，高中数学的教学模式正经历着从静态知识传授向动态、建构式认知范式的根本性变迁。数学，尤其是高中阶段的数学，其核心在于培养学生的抽象逻辑推理、空间想象能力以及代数与几何形态的自由转换能力。上海市中小学所采用的“沪教版”高中数学教材，以其严密的逻辑递进性、极高的学术标准以及对数学应用能力的深刻关注而著称。然而，在传统的教学环境中，教师往往受限于黑板或静态演示文稿（PPT），难以将抽象的数学符号体系与直观的动态几何变幻完美融合。这种媒介的局限性直接导致了学生在面临复杂认知节点（如正弦函数的图像映射、空间几何体的多维投影、圆锥曲线的动点轨迹）时，容易产生认知超载。</w:t>
      </w:r>
    </w:p>
    <w:p w14:paraId="154FEF6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构建一个专为高中数学教师设计的线上教育资源聚合平台，不仅是对传统教具的简单数字化，更是对教学认知工具的重塑。该平台的核心使命是提供高度细化的、基于特定课时与知识点的交互式HTML课件。这些数字化教具必须具备强大的底层数学引擎支持，能够实现参数的实时驱动与图像的瞬时响应，其操作体验需达到甚至超越GeoGebra等专业软件的水平。本报告旨在详尽梳理沪教版高中数学的知识结构体系，深度排摸教学痛点与数字化融合切入点，并系统性地分析如何汲取GitHub开源社区、上海市官方教育平台以及“飞象教师”等商业云平台的优秀基因，从而为研发一个具有极高教学实效性与技术前瞻性的教师云平台提供全方位的战略与架构蓝图。</w:t>
      </w:r>
    </w:p>
    <w:p w14:paraId="31AF3AB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沪教版高中数学课程大纲与知识图谱的全面映射</w:t>
      </w:r>
    </w:p>
    <w:p w14:paraId="67111DB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设计一个精准对接教学需求的数字化平台，首要前提是建立一个详尽无遗的课程知识图谱。沪教版高中数学教材的结构被严密地划分为必修模块与选择性必修模块。平台的底层数据库必须以此目录为基础，构建起“册次—章节—课时—知识点—交互组件”的深度树状索引模型。</w:t>
      </w:r>
    </w:p>
    <w:p w14:paraId="4B4EA13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必修模块的知识网络与数字化赋能契机</w:t>
      </w:r>
    </w:p>
    <w:p w14:paraId="4FA6AB8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必修模块构成了现代数学运算与分析的基石，主要涵盖集合逻辑、基本初等函数、三角学、立体几何与统计学初步。这一阶段的教学重心在于引导学生完成从初中阶段的具体数值运算向高中阶段的抽象函数映射思维的转变。</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706"/>
        <w:gridCol w:w="966"/>
        <w:gridCol w:w="2803"/>
        <w:gridCol w:w="1213"/>
        <w:gridCol w:w="2698"/>
      </w:tblGrid>
      <w:tr w14:paraId="762AE724">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F85772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教材册次</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AAE863D">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核心章节主题</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7A2898B">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关键知识点剖析</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30F7B98">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前置知识要求</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55A6AF96">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后续应用场景与数字化潜能</w:t>
            </w:r>
          </w:p>
        </w:tc>
      </w:tr>
      <w:tr w14:paraId="18F764AC">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CD41058">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必修第一册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2A99E5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集合与逻辑</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7CF7BB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集合的交并补运算、充分必要条件、全称与存在量词。</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D624A0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初中代数基础、基本不等式。</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10B77C5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奠定函数定义域与值域的逻辑基础。数字化教具可利用动态文氏图实时展示逻辑交集与并集的演变。</w:t>
            </w:r>
          </w:p>
        </w:tc>
      </w:tr>
      <w:tr w14:paraId="1A791063">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BA339C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必修第一册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F9A6AF4">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不等式</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8F06AFA">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基本不等式 $a+b \ge 2\sqrt{ab}$、一元二次不等式的解法。</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A01C7C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因式分解、二次函数图像。</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497E4F8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线性规划、极值求解。可通过动态调节二次函数开口与顶点，直观展示不等式解集的区间变化。</w:t>
            </w:r>
          </w:p>
        </w:tc>
      </w:tr>
      <w:tr w14:paraId="6B20C09F">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F2E3E8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必修第一册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A08B88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幂、指、对函数</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E40A8D3">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映射概念、函数的单调性与奇偶性、指数与对数的互逆性质。</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13AD70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代数运算规则、直角坐标系。</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38BF62B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微积分基础、复杂数学建模。平台可设计指数函数与对数函数关于 $y=x$ 对称的动态翻折课件。</w:t>
            </w:r>
          </w:p>
        </w:tc>
      </w:tr>
      <w:tr w14:paraId="7897AB65">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0BF9733E">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必修第二册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2B9C9D4">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三角函数</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2A750D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弧度制、单位圆上的三角定义、正余弦函数图像与性质、诱导公式。</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4DF4E23">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锐角三角比、圆的基本性质。</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1D8CBAA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简谐振动物理模型、复数极坐标。此处为数字化融合的最佳切入点，后文将进行深度解析。</w:t>
            </w:r>
          </w:p>
        </w:tc>
      </w:tr>
      <w:tr w14:paraId="31A6DEA5">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7B4B0F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必修第二册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7745D23">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平面向量与复数</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44F91A3">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向量加减法与数乘、数量积、复数的代数与几何意义。</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C641EAC">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坐标系、实数系。</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143128F6">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解析几何、力学分析。交互课件可实现拖拽向量端点，实时展示平行四边形法则及数量积的投影意义。</w:t>
            </w:r>
          </w:p>
        </w:tc>
      </w:tr>
      <w:tr w14:paraId="1A74F603">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4E6049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必修第三册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62B0D2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立体几何初步</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00E801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空间点线面位置关系、异面直线所成角、二面角、简单几何体表面积与体积。</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4905F5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平面几何公理、面积体积公式。</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36FB6A6C">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空间向量与立体几何进阶。利用3D渲染引擎，允许教师在浏览器中360度旋转多面体，并进行动态截面切割。</w:t>
            </w:r>
          </w:p>
        </w:tc>
      </w:tr>
      <w:tr w14:paraId="2D20C80B">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49A8875">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必修第三册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485264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统计与概率</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5C9E98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随机抽样方法、样本方差与标准差、古典概型、事件的独立性。</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4ABB75C">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数据处理基础。</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7EDB23A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选择性必修中的推断统计。通过模拟千万次抛硬币或高尔顿板实验，展示频率向概率收敛的动态过程。</w:t>
            </w:r>
          </w:p>
        </w:tc>
      </w:tr>
    </w:tbl>
    <w:p w14:paraId="64C1666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选择性必修模块的高阶分析与动态推演</w:t>
      </w:r>
    </w:p>
    <w:p w14:paraId="468753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选择性必修模块进一步提升了数学抽象的维度，引入了坐标法解决几何问题的解析体系，以及用于研究连续变化过程的微积分初步工具。这些领域的教学痛点尤为集中，对动态参数化演示的需求极为强烈。</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773"/>
        <w:gridCol w:w="800"/>
        <w:gridCol w:w="2358"/>
        <w:gridCol w:w="1247"/>
        <w:gridCol w:w="3208"/>
      </w:tblGrid>
      <w:tr w14:paraId="3398635C">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A613F5E">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教材册次</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F09542D">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核心章节主题</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A08E51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关键知识点剖析</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35EE2E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前置知识要求</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21B9BBA">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后续应用场景与数字化潜能</w:t>
            </w:r>
          </w:p>
        </w:tc>
      </w:tr>
      <w:tr w14:paraId="11EFD8C4">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FD62DA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选择性第一册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C03A0AC">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平面解析几何</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F6C2194">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直线方程的多种形式、圆的方程、直线与圆的位置关系（相交、相切、相离）。</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2575C9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平面向量、方程组求解。</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721A91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圆锥曲线的先导工具。动态展示直线斜率变化对切点位置的影响，实时计算弦长。</w:t>
            </w:r>
          </w:p>
        </w:tc>
      </w:tr>
      <w:tr w14:paraId="2F455E3A">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8F65767">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选择性第一册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4D1B7F6">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圆锥曲线</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EEC1F0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椭圆、双曲线、抛物线的标准方程与几何性质、离心率、准线。</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E61010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解析几何基础、二次方程。</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7BF1CD70">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天体物理轨道计算。数字化教具可完美复现“焦点与准线距离比值不变”的轨迹生成动画。</w:t>
            </w:r>
          </w:p>
        </w:tc>
      </w:tr>
      <w:tr w14:paraId="75F84479">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01F88AE">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选择性第二册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B0DD78E">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数列</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D7B6B95">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等差数列、等比数列、递推公式、数学归纳法。</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0B834C5D">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离散域上的函数概念。</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668D452">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泰勒展开、无限级数求和。利用散点图动态展示数列极限的收敛趋势，突破离散到连续的认知障碍。</w:t>
            </w:r>
          </w:p>
        </w:tc>
      </w:tr>
      <w:tr w14:paraId="3CB5BB13">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925228B">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选择性第二册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D9CAA5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导数及其应用</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E13CD07">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平均变化率、瞬时变化率、导数定义、导数与函数单调性的关系。</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579913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函数极限思想、多项式代数。</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798C09C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大学微积分、最优化问题。通过无限缩短割线两点距离，动态演示割线向切线逼近的极限过程。</w:t>
            </w:r>
          </w:p>
        </w:tc>
      </w:tr>
      <w:tr w14:paraId="4FCF530B">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DACE758">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选择性第三册</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C554BA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成对数据与概率</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1E323629">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条件概率、全概率公式、离散型随机变量及其分布列、正态分布曲线。</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451D55E">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古典概型、排列组合。</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846E515">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机器学习算法、精算学。提供正态分布曲线参数（$\mu, \sigma$）的动态调节滑块，实时观察曲线的高矮胖瘦变化。</w:t>
            </w:r>
          </w:p>
        </w:tc>
      </w:tr>
    </w:tbl>
    <w:p w14:paraId="75EFAEA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通过对上述课程大纲的拆解，平台的内容管理系统必须严格遵守这一逻辑顺序，为每一个末端知识点绑定对应的数字化交互课件（HTML格式），确保教师在备课时能够按照教材进度，精准检索到所需的数字化教具。</w:t>
      </w:r>
    </w:p>
    <w:p w14:paraId="6FFC14B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教学知识点痛点深度剖析与数字化教具融合策略</w:t>
      </w:r>
    </w:p>
    <w:p w14:paraId="1555551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明确了宏观的课程大纲之后，平台设计的核心工作转向对微观教学场景的解构。每一个优秀的交互式数字化课件，其诞生都必须源于对传统教学痛点的深刻洞察。本节将以用户最为关心的“正弦函数”等核心章节为例，详尽梳理数字化教育融合的切入点与课件设计框架。</w:t>
      </w:r>
    </w:p>
    <w:p w14:paraId="696E076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正弦函数体系的动态映射与认知重构</w:t>
      </w:r>
    </w:p>
    <w:p w14:paraId="2F118BD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沪教版必修第二册中，三角函数的教学标志着学生从静态的几何比例认知向动态的周期函数认知的飞跃。传统的黑板粉笔教学在展示“弧度制展开”与“函数图像生成”时，只能依赖教师的徒手作图与口头描述，这构成了极大的认知鸿沟。针对这一章节，平台应当设计一套循序渐进的数字化教具序列。</w:t>
      </w:r>
    </w:p>
    <w:p w14:paraId="49663B0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第一步，必须设计针对“单位圆与正弦函数图像映射”的展示课件。其交互核心在于将圆周运动与直线上的波形起伏建立严密的视觉同步。在HTML5画布上，左侧呈现一个标准的单位圆，右侧则为直角坐标系。教师在演示时，可以通过鼠标拖拽单位圆上的动点 </w:t>
      </w:r>
      <w:r>
        <w:rPr>
          <w:rFonts w:hint="default" w:ascii="sans-serif" w:hAnsi="sans-serif" w:eastAsia="sans-serif" w:cs="sans-serif"/>
          <w:color w:val="1F1F1F"/>
          <w:bdr w:val="none" w:color="1F1F1F" w:sz="0" w:space="0"/>
        </w:rPr>
        <w:t>$P$</w:t>
      </w:r>
      <w:r>
        <w:rPr>
          <w:rFonts w:hint="default" w:ascii="sans-serif" w:hAnsi="sans-serif" w:eastAsia="sans-serif" w:cs="sans-serif"/>
          <w:color w:val="1F1F1F"/>
          <w:bdr w:val="none" w:color="auto" w:sz="0" w:space="0"/>
        </w:rPr>
        <w:t xml:space="preserve">。随着点 </w:t>
      </w:r>
      <w:r>
        <w:rPr>
          <w:rFonts w:hint="default" w:ascii="sans-serif" w:hAnsi="sans-serif" w:eastAsia="sans-serif" w:cs="sans-serif"/>
          <w:color w:val="1F1F1F"/>
          <w:bdr w:val="none" w:color="1F1F1F" w:sz="0" w:space="0"/>
        </w:rPr>
        <w:t>$P$</w:t>
      </w:r>
      <w:r>
        <w:rPr>
          <w:rFonts w:hint="default" w:ascii="sans-serif" w:hAnsi="sans-serif" w:eastAsia="sans-serif" w:cs="sans-serif"/>
          <w:color w:val="1F1F1F"/>
          <w:bdr w:val="none" w:color="auto" w:sz="0" w:space="0"/>
        </w:rPr>
        <w:t xml:space="preserve"> 的逆时针旋转，动点划过的弧长（即弧度值 </w:t>
      </w:r>
      <w:r>
        <w:rPr>
          <w:rFonts w:hint="default" w:ascii="sans-serif" w:hAnsi="sans-serif" w:eastAsia="sans-serif" w:cs="sans-serif"/>
          <w:color w:val="1F1F1F"/>
          <w:bdr w:val="none" w:color="1F1F1F" w:sz="0" w:space="0"/>
        </w:rPr>
        <w:t>$x$</w:t>
      </w:r>
      <w:r>
        <w:rPr>
          <w:rFonts w:hint="default" w:ascii="sans-serif" w:hAnsi="sans-serif" w:eastAsia="sans-serif" w:cs="sans-serif"/>
          <w:color w:val="1F1F1F"/>
          <w:bdr w:val="none" w:color="auto" w:sz="0" w:space="0"/>
        </w:rPr>
        <w:t xml:space="preserve">）在右侧坐标系的横轴上同步延伸，而点 </w:t>
      </w:r>
      <w:r>
        <w:rPr>
          <w:rFonts w:hint="default" w:ascii="sans-serif" w:hAnsi="sans-serif" w:eastAsia="sans-serif" w:cs="sans-serif"/>
          <w:color w:val="1F1F1F"/>
          <w:bdr w:val="none" w:color="1F1F1F" w:sz="0" w:space="0"/>
        </w:rPr>
        <w:t>$P$</w:t>
      </w:r>
      <w:r>
        <w:rPr>
          <w:rFonts w:hint="default" w:ascii="sans-serif" w:hAnsi="sans-serif" w:eastAsia="sans-serif" w:cs="sans-serif"/>
          <w:color w:val="1F1F1F"/>
          <w:bdr w:val="none" w:color="auto" w:sz="0" w:space="0"/>
        </w:rPr>
        <w:t xml:space="preserve"> 的纵坐标（即 </w:t>
      </w:r>
      <w:r>
        <w:rPr>
          <w:rFonts w:hint="default" w:ascii="sans-serif" w:hAnsi="sans-serif" w:eastAsia="sans-serif" w:cs="sans-serif"/>
          <w:color w:val="1F1F1F"/>
          <w:bdr w:val="none" w:color="1F1F1F" w:sz="0" w:space="0"/>
        </w:rPr>
        <w:t>$\sin x$</w:t>
      </w:r>
      <w:r>
        <w:rPr>
          <w:rFonts w:hint="default" w:ascii="sans-serif" w:hAnsi="sans-serif" w:eastAsia="sans-serif" w:cs="sans-serif"/>
          <w:color w:val="1F1F1F"/>
          <w:bdr w:val="none" w:color="auto" w:sz="0" w:space="0"/>
        </w:rPr>
        <w:t xml:space="preserve"> 的值）则通过一条动态的水平虚线，实时投射到右侧坐标系中，精准勾勒出 </w:t>
      </w:r>
      <w:r>
        <w:rPr>
          <w:rFonts w:hint="default" w:ascii="sans-serif" w:hAnsi="sans-serif" w:eastAsia="sans-serif" w:cs="sans-serif"/>
          <w:color w:val="1F1F1F"/>
          <w:bdr w:val="none" w:color="1F1F1F" w:sz="0" w:space="0"/>
        </w:rPr>
        <w:t>$y = \sin x$</w:t>
      </w:r>
      <w:r>
        <w:rPr>
          <w:rFonts w:hint="default" w:ascii="sans-serif" w:hAnsi="sans-serif" w:eastAsia="sans-serif" w:cs="sans-serif"/>
          <w:color w:val="1F1F1F"/>
          <w:bdr w:val="none" w:color="auto" w:sz="0" w:space="0"/>
        </w:rPr>
        <w:t xml:space="preserve"> 的波浪形轨迹。这种将时间维度融入空间绘图的数字化手段，彻底击碎了学生对正弦波形来源的困惑，实现了几何意义与代数形式的完美统一。</w:t>
      </w:r>
    </w:p>
    <w:p w14:paraId="020EE66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第二步，在完成了新课导入后，需针对“正弦函数的图像与性质”设计探究型课件。此时的痛点在于理解函数的周期性与奇偶性。数字化教具应提供一个可视化的观察窗口，允许教师平移图像。当教师向左或向右拖动图像 </w:t>
      </w:r>
      <w:r>
        <w:rPr>
          <w:rFonts w:hint="default" w:ascii="sans-serif" w:hAnsi="sans-serif" w:eastAsia="sans-serif" w:cs="sans-serif"/>
          <w:color w:val="1F1F1F"/>
          <w:bdr w:val="none" w:color="1F1F1F" w:sz="0" w:space="0"/>
        </w:rPr>
        <w:t>$2\pi$</w:t>
      </w:r>
      <w:r>
        <w:rPr>
          <w:rFonts w:hint="default" w:ascii="sans-serif" w:hAnsi="sans-serif" w:eastAsia="sans-serif" w:cs="sans-serif"/>
          <w:color w:val="1F1F1F"/>
          <w:bdr w:val="none" w:color="auto" w:sz="0" w:space="0"/>
        </w:rPr>
        <w:t xml:space="preserve"> 的整数倍时，学生能够清晰地看到图像与原图像完全重合，从而在视觉上直观验证了 </w:t>
      </w:r>
      <w:r>
        <w:rPr>
          <w:rFonts w:hint="default" w:ascii="sans-serif" w:hAnsi="sans-serif" w:eastAsia="sans-serif" w:cs="sans-serif"/>
          <w:color w:val="1F1F1F"/>
          <w:bdr w:val="none" w:color="1F1F1F" w:sz="0" w:space="0"/>
        </w:rPr>
        <w:t>$f(x) = f(x+2k\pi)$</w:t>
      </w:r>
      <w:r>
        <w:rPr>
          <w:rFonts w:hint="default" w:ascii="sans-serif" w:hAnsi="sans-serif" w:eastAsia="sans-serif" w:cs="sans-serif"/>
          <w:color w:val="1F1F1F"/>
          <w:bdr w:val="none" w:color="auto" w:sz="0" w:space="0"/>
        </w:rPr>
        <w:t xml:space="preserve"> 的周期性本质。同理，通过设置一键“绕原点旋转180度”的动画效果，可以瞬间证明正弦函数的奇函数特性。</w:t>
      </w:r>
    </w:p>
    <w:p w14:paraId="4413FAA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第三步，也是本章节的最高潮，即“函数 </w:t>
      </w:r>
      <w:r>
        <w:rPr>
          <w:rFonts w:hint="default" w:ascii="sans-serif" w:hAnsi="sans-serif" w:eastAsia="sans-serif" w:cs="sans-serif"/>
          <w:color w:val="1F1F1F"/>
          <w:bdr w:val="none" w:color="1F1F1F" w:sz="0" w:space="0"/>
        </w:rPr>
        <w:t>$y = A\sin(\omega x + \phi) + k$</w:t>
      </w:r>
      <w:r>
        <w:rPr>
          <w:rFonts w:hint="default" w:ascii="sans-serif" w:hAnsi="sans-serif" w:eastAsia="sans-serif" w:cs="sans-serif"/>
          <w:color w:val="1F1F1F"/>
          <w:bdr w:val="none" w:color="auto" w:sz="0" w:space="0"/>
        </w:rPr>
        <w:t xml:space="preserve"> 的图像变换”课件设计。这一知识点是历年高考的重点与难点，学生极易混淆平移变换与伸缩变换的先后顺序对参数 </w:t>
      </w:r>
      <w:r>
        <w:rPr>
          <w:rFonts w:hint="default" w:ascii="sans-serif" w:hAnsi="sans-serif" w:eastAsia="sans-serif" w:cs="sans-serif"/>
          <w:color w:val="1F1F1F"/>
          <w:bdr w:val="none" w:color="1F1F1F" w:sz="0" w:space="0"/>
        </w:rPr>
        <w:t>$\phi$</w:t>
      </w:r>
      <w:r>
        <w:rPr>
          <w:rFonts w:hint="default" w:ascii="sans-serif" w:hAnsi="sans-serif" w:eastAsia="sans-serif" w:cs="sans-serif"/>
          <w:color w:val="1F1F1F"/>
          <w:bdr w:val="none" w:color="auto" w:sz="0" w:space="0"/>
        </w:rPr>
        <w:t xml:space="preserve"> 的影响。传统的静态教案只能呈现变换前后的两张截图，缺乏过渡。理想的数字化融合点在于，开发一个包含四个独立平滑滑块（分别控制振幅 </w:t>
      </w:r>
      <w:r>
        <w:rPr>
          <w:rFonts w:hint="default" w:ascii="sans-serif" w:hAnsi="sans-serif" w:eastAsia="sans-serif" w:cs="sans-serif"/>
          <w:color w:val="1F1F1F"/>
          <w:bdr w:val="none" w:color="1F1F1F" w:sz="0" w:space="0"/>
        </w:rPr>
        <w:t>$A$</w:t>
      </w:r>
      <w:r>
        <w:rPr>
          <w:rFonts w:hint="default" w:ascii="sans-serif" w:hAnsi="sans-serif" w:eastAsia="sans-serif" w:cs="sans-serif"/>
          <w:color w:val="1F1F1F"/>
          <w:bdr w:val="none" w:color="auto" w:sz="0" w:space="0"/>
        </w:rPr>
        <w:t xml:space="preserve">、角频率 </w:t>
      </w:r>
      <w:r>
        <w:rPr>
          <w:rFonts w:hint="default" w:ascii="sans-serif" w:hAnsi="sans-serif" w:eastAsia="sans-serif" w:cs="sans-serif"/>
          <w:color w:val="1F1F1F"/>
          <w:bdr w:val="none" w:color="1F1F1F" w:sz="0" w:space="0"/>
        </w:rPr>
        <w:t>$\omega$</w:t>
      </w:r>
      <w:r>
        <w:rPr>
          <w:rFonts w:hint="default" w:ascii="sans-serif" w:hAnsi="sans-serif" w:eastAsia="sans-serif" w:cs="sans-serif"/>
          <w:color w:val="1F1F1F"/>
          <w:bdr w:val="none" w:color="auto" w:sz="0" w:space="0"/>
        </w:rPr>
        <w:t xml:space="preserve">、初相 </w:t>
      </w:r>
      <w:r>
        <w:rPr>
          <w:rFonts w:hint="default" w:ascii="sans-serif" w:hAnsi="sans-serif" w:eastAsia="sans-serif" w:cs="sans-serif"/>
          <w:color w:val="1F1F1F"/>
          <w:bdr w:val="none" w:color="1F1F1F" w:sz="0" w:space="0"/>
        </w:rPr>
        <w:t>$\phi$</w:t>
      </w:r>
      <w:r>
        <w:rPr>
          <w:rFonts w:hint="default" w:ascii="sans-serif" w:hAnsi="sans-serif" w:eastAsia="sans-serif" w:cs="sans-serif"/>
          <w:color w:val="1F1F1F"/>
          <w:bdr w:val="none" w:color="auto" w:sz="0" w:space="0"/>
        </w:rPr>
        <w:t xml:space="preserve">、纵向偏移 </w:t>
      </w:r>
      <w:r>
        <w:rPr>
          <w:rFonts w:hint="default" w:ascii="sans-serif" w:hAnsi="sans-serif" w:eastAsia="sans-serif" w:cs="sans-serif"/>
          <w:color w:val="1F1F1F"/>
          <w:bdr w:val="none" w:color="1F1F1F" w:sz="0" w:space="0"/>
        </w:rPr>
        <w:t>$k$</w:t>
      </w:r>
      <w:r>
        <w:rPr>
          <w:rFonts w:hint="default" w:ascii="sans-serif" w:hAnsi="sans-serif" w:eastAsia="sans-serif" w:cs="sans-serif"/>
          <w:color w:val="1F1F1F"/>
          <w:bdr w:val="none" w:color="auto" w:sz="0" w:space="0"/>
        </w:rPr>
        <w:t xml:space="preserve">）的交互式应用。更重要的是，该课件必须内置“变换路径记录”功能。教师可以选择“先平移后伸缩”或“先伸缩后平移”两种不同的操作序列，软件则通过慢动作动画，实时拉伸或挤压波形，并辅以代数表达式的同步高亮变化，让学生深刻理解横向缩放因子 </w:t>
      </w:r>
      <w:r>
        <w:rPr>
          <w:rFonts w:hint="default" w:ascii="sans-serif" w:hAnsi="sans-serif" w:eastAsia="sans-serif" w:cs="sans-serif"/>
          <w:color w:val="1F1F1F"/>
          <w:bdr w:val="none" w:color="1F1F1F" w:sz="0" w:space="0"/>
        </w:rPr>
        <w:t>$\omega$</w:t>
      </w:r>
      <w:r>
        <w:rPr>
          <w:rFonts w:hint="default" w:ascii="sans-serif" w:hAnsi="sans-serif" w:eastAsia="sans-serif" w:cs="sans-serif"/>
          <w:color w:val="1F1F1F"/>
          <w:bdr w:val="none" w:color="auto" w:sz="0" w:space="0"/>
        </w:rPr>
        <w:t xml:space="preserve"> 是如何作用于整体自变量的。这种级别的交互操作，正是数字化教具超越实体教具的核心价值所在。</w:t>
      </w:r>
    </w:p>
    <w:p w14:paraId="43E9762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圆锥曲线轨迹与离心率的参数化推演</w:t>
      </w:r>
    </w:p>
    <w:p w14:paraId="03E1DF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在选择性必修第一册的圆锥曲线教学中，核心痛点在于动点轨迹的几何生成过程难以在纸面上重现，以及学生难以直观感受到离心率对曲线形状的决定性作用。</w:t>
      </w:r>
    </w:p>
    <w:p w14:paraId="4EB45C2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针对椭圆知识点，平台需提供“细线与图钉”物理实验的纯数字化高保真模拟。在交互课件中，教师可以自由设定两个焦点 </w:t>
      </w:r>
      <w:r>
        <w:rPr>
          <w:rFonts w:hint="default" w:ascii="sans-serif" w:hAnsi="sans-serif" w:eastAsia="sans-serif" w:cs="sans-serif"/>
          <w:color w:val="1F1F1F"/>
          <w:bdr w:val="none" w:color="1F1F1F" w:sz="0" w:space="0"/>
        </w:rPr>
        <w:t>$F_1$</w:t>
      </w:r>
      <w:r>
        <w:rPr>
          <w:rFonts w:hint="default" w:ascii="sans-serif" w:hAnsi="sans-serif" w:eastAsia="sans-serif" w:cs="sans-serif"/>
          <w:color w:val="1F1F1F"/>
          <w:bdr w:val="none" w:color="auto" w:sz="0" w:space="0"/>
        </w:rPr>
        <w:t xml:space="preserve"> 和 </w:t>
      </w:r>
      <w:r>
        <w:rPr>
          <w:rFonts w:hint="default" w:ascii="sans-serif" w:hAnsi="sans-serif" w:eastAsia="sans-serif" w:cs="sans-serif"/>
          <w:color w:val="1F1F1F"/>
          <w:bdr w:val="none" w:color="1F1F1F" w:sz="0" w:space="0"/>
        </w:rPr>
        <w:t>$F_2$</w:t>
      </w:r>
      <w:r>
        <w:rPr>
          <w:rFonts w:hint="default" w:ascii="sans-serif" w:hAnsi="sans-serif" w:eastAsia="sans-serif" w:cs="sans-serif"/>
          <w:color w:val="1F1F1F"/>
          <w:bdr w:val="none" w:color="auto" w:sz="0" w:space="0"/>
        </w:rPr>
        <w:t xml:space="preserve"> 的坐标，并输入常数 </w:t>
      </w:r>
      <w:r>
        <w:rPr>
          <w:rFonts w:hint="default" w:ascii="sans-serif" w:hAnsi="sans-serif" w:eastAsia="sans-serif" w:cs="sans-serif"/>
          <w:color w:val="1F1F1F"/>
          <w:bdr w:val="none" w:color="1F1F1F" w:sz="0" w:space="0"/>
        </w:rPr>
        <w:t>$2a$</w:t>
      </w:r>
      <w:r>
        <w:rPr>
          <w:rFonts w:hint="default" w:ascii="sans-serif" w:hAnsi="sans-serif" w:eastAsia="sans-serif" w:cs="sans-serif"/>
          <w:color w:val="1F1F1F"/>
          <w:bdr w:val="none" w:color="auto" w:sz="0" w:space="0"/>
        </w:rPr>
        <w:t xml:space="preserve"> 的值。随着软件内部计算引擎的运转，动点在屏幕上缓慢绘制出椭圆轨迹，而界面旁侧的数据面板实时刷新动点到两焦点的距离之和，始终保持常数状态。此外，针对离心率 </w:t>
      </w:r>
      <w:r>
        <w:rPr>
          <w:rFonts w:hint="default" w:ascii="sans-serif" w:hAnsi="sans-serif" w:eastAsia="sans-serif" w:cs="sans-serif"/>
          <w:color w:val="1F1F1F"/>
          <w:bdr w:val="none" w:color="1F1F1F" w:sz="0" w:space="0"/>
        </w:rPr>
        <w:t>$e = c/a$</w:t>
      </w:r>
      <w:r>
        <w:rPr>
          <w:rFonts w:hint="default" w:ascii="sans-serif" w:hAnsi="sans-serif" w:eastAsia="sans-serif" w:cs="sans-serif"/>
          <w:color w:val="1F1F1F"/>
          <w:bdr w:val="none" w:color="auto" w:sz="0" w:space="0"/>
        </w:rPr>
        <w:t xml:space="preserve"> 的理解，课件应设计一个独立的交互滑块，允许教师在保持长轴 </w:t>
      </w:r>
      <w:r>
        <w:rPr>
          <w:rFonts w:hint="default" w:ascii="sans-serif" w:hAnsi="sans-serif" w:eastAsia="sans-serif" w:cs="sans-serif"/>
          <w:color w:val="1F1F1F"/>
          <w:bdr w:val="none" w:color="1F1F1F" w:sz="0" w:space="0"/>
        </w:rPr>
        <w:t>$2a$</w:t>
      </w:r>
      <w:r>
        <w:rPr>
          <w:rFonts w:hint="default" w:ascii="sans-serif" w:hAnsi="sans-serif" w:eastAsia="sans-serif" w:cs="sans-serif"/>
          <w:color w:val="1F1F1F"/>
          <w:bdr w:val="none" w:color="auto" w:sz="0" w:space="0"/>
        </w:rPr>
        <w:t xml:space="preserve"> 不变的情况下，逐渐拉近两个焦点的距离。随着焦点向中心靠拢，</w:t>
      </w:r>
      <w:r>
        <w:rPr>
          <w:rFonts w:hint="default" w:ascii="sans-serif" w:hAnsi="sans-serif" w:eastAsia="sans-serif" w:cs="sans-serif"/>
          <w:color w:val="1F1F1F"/>
          <w:bdr w:val="none" w:color="1F1F1F" w:sz="0" w:space="0"/>
        </w:rPr>
        <w:t>$e$</w:t>
      </w:r>
      <w:r>
        <w:rPr>
          <w:rFonts w:hint="default" w:ascii="sans-serif" w:hAnsi="sans-serif" w:eastAsia="sans-serif" w:cs="sans-serif"/>
          <w:color w:val="1F1F1F"/>
          <w:bdr w:val="none" w:color="auto" w:sz="0" w:space="0"/>
        </w:rPr>
        <w:t xml:space="preserve"> 值实时趋近于0，椭圆逐渐变圆的过程在屏幕上流畅展现；反之，当焦点向长轴端点移动时，椭圆逐渐变得扁平。这种将抽象代数比值与直观几何形状建立动态关联的设计，极大降低了圆锥曲线的抽象门槛。</w:t>
      </w:r>
    </w:p>
    <w:p w14:paraId="4395AD7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空间几何的3D渲染与动态截面分析</w:t>
      </w:r>
    </w:p>
    <w:p w14:paraId="68DDA71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必修第三册立体几何初步的痛点则完全集中在空间想象力的匮乏上。在二维的黑板上绘制三维图形，不可避免地会导致视觉变形，使得学生在寻找辅助线或判断线面垂直关系时频频受挫。</w:t>
      </w:r>
    </w:p>
    <w:p w14:paraId="171099D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数字化融合的最佳切入点是引入支持WebGL架构的在线3D渲染模型。不同于静态的PPT图片，该类数字化教具应允许教师在授课时，使用鼠标任意翻转、缩放空间几何体（如正方体、四面体或圆锥）。更关键的功能是“动态截面与投影”。例如，在讲解二面角或线面角时，教师可以在3D模型上点选三个顶点定义一个截面，软件自动生成该平面，并将空间图形切开。随后，教师可以一键将视角切换至“正交于该截面”的角度，原本复杂的三维问题瞬间降维成学生熟悉的二维平面几何问题。这种从多维度自由观察、自由剖析的数字化体验，是任何传统媒体都无法企及的。</w:t>
      </w:r>
    </w:p>
    <w:p w14:paraId="2D638F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基于GitHub开源生态的技术底座与框架借鉴</w:t>
      </w:r>
    </w:p>
    <w:p w14:paraId="3F75F4E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支撑上述高度复杂的动态交互需求，从零开始编写底层的代数计算与几何渲染引擎是不切实际且容易充满漏洞的。构建现代化的教育云平台，必须站在开源巨人的肩膀上。通过在GitHub上对相关数字化教育资源的深度检索与分析，我们发现GeoGebra（简称GGB）的开源生态提供了极其优秀的框架借鉴与技术集成路径。</w:t>
      </w:r>
    </w:p>
    <w:p w14:paraId="0064096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GeoGebra核心代码库的解析与应用潜力</w:t>
      </w:r>
    </w:p>
    <w:p w14:paraId="0C73549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针对GitHub上的GeoGebra官方组织仓库分析表明，其维护了包含多达20个开源项目的庞大生态系统 </w:t>
      </w:r>
      <w:r>
        <w:rPr>
          <w:rStyle w:val="9"/>
          <w:rFonts w:hint="default" w:ascii="sans-serif" w:hAnsi="sans-serif" w:eastAsia="sans-serif" w:cs="sans-serif"/>
          <w:color w:val="444746"/>
          <w:bdr w:val="none" w:color="444746" w:sz="0" w:space="0"/>
        </w:rPr>
        <w:t>[1]</w:t>
      </w:r>
      <w:r>
        <w:rPr>
          <w:rFonts w:hint="default" w:ascii="sans-serif" w:hAnsi="sans-serif" w:eastAsia="sans-serif" w:cs="sans-serif"/>
          <w:color w:val="1F1F1F"/>
          <w:bdr w:val="none" w:color="auto" w:sz="0" w:space="0"/>
        </w:rPr>
        <w:t xml:space="preserve">。这些核心仓库涵盖了 </w:t>
      </w:r>
      <w:r>
        <w:rPr>
          <w:rStyle w:val="9"/>
          <w:rFonts w:hint="default" w:ascii="sans-serif" w:hAnsi="sans-serif" w:eastAsia="sans-serif" w:cs="sans-serif"/>
          <w:color w:val="444746"/>
          <w:bdr w:val="none" w:color="444746" w:sz="0" w:space="0"/>
        </w:rPr>
        <w:t>geogebra</w:t>
      </w:r>
      <w:r>
        <w:rPr>
          <w:rFonts w:hint="default" w:ascii="sans-serif" w:hAnsi="sans-serif" w:eastAsia="sans-serif" w:cs="sans-serif"/>
          <w:color w:val="1F1F1F"/>
          <w:bdr w:val="none" w:color="auto" w:sz="0" w:space="0"/>
        </w:rPr>
        <w:t xml:space="preserve"> 主程序、</w:t>
      </w:r>
      <w:r>
        <w:rPr>
          <w:rStyle w:val="9"/>
          <w:rFonts w:hint="default" w:ascii="sans-serif" w:hAnsi="sans-serif" w:eastAsia="sans-serif" w:cs="sans-serif"/>
          <w:color w:val="444746"/>
          <w:bdr w:val="none" w:color="444746" w:sz="0" w:space="0"/>
        </w:rPr>
        <w:t>solver-engine</w:t>
      </w:r>
      <w:r>
        <w:rPr>
          <w:rFonts w:hint="default" w:ascii="sans-serif" w:hAnsi="sans-serif" w:eastAsia="sans-serif" w:cs="sans-serif"/>
          <w:color w:val="1F1F1F"/>
          <w:bdr w:val="none" w:color="auto" w:sz="0" w:space="0"/>
        </w:rPr>
        <w:t>（逐步求解引擎）、</w:t>
      </w:r>
      <w:r>
        <w:rPr>
          <w:rStyle w:val="9"/>
          <w:rFonts w:hint="default" w:ascii="sans-serif" w:hAnsi="sans-serif" w:eastAsia="sans-serif" w:cs="sans-serif"/>
          <w:color w:val="444746"/>
          <w:bdr w:val="none" w:color="444746" w:sz="0" w:space="0"/>
        </w:rPr>
        <w:t>canvas-to-svg</w:t>
      </w:r>
      <w:r>
        <w:rPr>
          <w:rFonts w:hint="default" w:ascii="sans-serif" w:hAnsi="sans-serif" w:eastAsia="sans-serif" w:cs="sans-serif"/>
          <w:color w:val="1F1F1F"/>
          <w:bdr w:val="none" w:color="auto" w:sz="0" w:space="0"/>
        </w:rPr>
        <w:t xml:space="preserve">（图形渲染转换库）以及 </w:t>
      </w:r>
      <w:r>
        <w:rPr>
          <w:rStyle w:val="9"/>
          <w:rFonts w:hint="default" w:ascii="sans-serif" w:hAnsi="sans-serif" w:eastAsia="sans-serif" w:cs="sans-serif"/>
          <w:color w:val="444746"/>
          <w:bdr w:val="none" w:color="444746" w:sz="0" w:space="0"/>
        </w:rPr>
        <w:t>math-apps-examples</w:t>
      </w:r>
      <w:r>
        <w:rPr>
          <w:rFonts w:hint="default" w:ascii="sans-serif" w:hAnsi="sans-serif" w:eastAsia="sans-serif" w:cs="sans-serif"/>
          <w:color w:val="1F1F1F"/>
          <w:bdr w:val="none" w:color="auto" w:sz="0" w:space="0"/>
        </w:rPr>
        <w:t xml:space="preserve">（数学应用集成示例）等 </w:t>
      </w:r>
      <w:r>
        <w:rPr>
          <w:rStyle w:val="9"/>
          <w:rFonts w:hint="default" w:ascii="sans-serif" w:hAnsi="sans-serif" w:eastAsia="sans-serif" w:cs="sans-serif"/>
          <w:color w:val="444746"/>
          <w:bdr w:val="none" w:color="444746" w:sz="0" w:space="0"/>
        </w:rPr>
        <w:t>[1]</w:t>
      </w:r>
      <w:r>
        <w:rPr>
          <w:rFonts w:hint="default" w:ascii="sans-serif" w:hAnsi="sans-serif" w:eastAsia="sans-serif" w:cs="sans-serif"/>
          <w:color w:val="1F1F1F"/>
          <w:bdr w:val="none" w:color="auto" w:sz="0" w:space="0"/>
        </w:rPr>
        <w:t>。这一微服务化、模块化的代码架构为我们构建自有平台提供了绝佳的范本。</w:t>
      </w:r>
    </w:p>
    <w:p w14:paraId="330450E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GeoGebra引擎之所以成为构建在线交互式数学课件的首选，在于其强大的浏览器原生运算能力。依据其项目文档，该框架能够完美支持数学问题求解、函数图像绘制、几何图形构建、统计学与微积分运算，并且能够将所有结果保存在云端并进行分享，而这一切都完全在用户的浏览器环境中执行，无需安装任何本地客户端 </w:t>
      </w:r>
      <w:r>
        <w:rPr>
          <w:rStyle w:val="9"/>
          <w:rFonts w:hint="default" w:ascii="sans-serif" w:hAnsi="sans-serif" w:eastAsia="sans-serif" w:cs="sans-serif"/>
          <w:color w:val="444746"/>
          <w:bdr w:val="none" w:color="444746" w:sz="0" w:space="0"/>
        </w:rPr>
        <w:t>[2]</w:t>
      </w:r>
      <w:r>
        <w:rPr>
          <w:rFonts w:hint="default" w:ascii="sans-serif" w:hAnsi="sans-serif" w:eastAsia="sans-serif" w:cs="sans-serif"/>
          <w:color w:val="1F1F1F"/>
          <w:bdr w:val="none" w:color="auto" w:sz="0" w:space="0"/>
        </w:rPr>
        <w:t>。这意味着，我们的聚合平台可以利用HTML5技术，将复杂的数学课件无缝嵌入到网页之中，极大降低了学校终端设备的部署门槛。</w:t>
      </w:r>
    </w:p>
    <w:p w14:paraId="0CE5FC5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HTML集成参数化定制与前端部署策略</w:t>
      </w:r>
    </w:p>
    <w:p w14:paraId="3A68A2C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要将GGB这类强大的工具转化为适应沪教版课堂教学的特定课件，关键在于对其暴露的应用程序接口（API）和部署脚本进行精细化的参数控制。研究表明，</w:t>
      </w:r>
      <w:r>
        <w:rPr>
          <w:rStyle w:val="9"/>
          <w:rFonts w:hint="default" w:ascii="sans-serif" w:hAnsi="sans-serif" w:eastAsia="sans-serif" w:cs="sans-serif"/>
          <w:color w:val="444746"/>
          <w:bdr w:val="none" w:color="444746" w:sz="0" w:space="0"/>
        </w:rPr>
        <w:t>deployggb.js</w:t>
      </w:r>
      <w:r>
        <w:rPr>
          <w:rFonts w:hint="default" w:ascii="sans-serif" w:hAnsi="sans-serif" w:eastAsia="sans-serif" w:cs="sans-serif"/>
          <w:color w:val="1F1F1F"/>
          <w:bdr w:val="none" w:color="auto" w:sz="0" w:space="0"/>
        </w:rPr>
        <w:t xml:space="preserve"> 是实现这一集成目标的核心脚本文件 </w:t>
      </w:r>
      <w:r>
        <w:rPr>
          <w:rStyle w:val="9"/>
          <w:rFonts w:hint="default" w:ascii="sans-serif" w:hAnsi="sans-serif" w:eastAsia="sans-serif" w:cs="sans-serif"/>
          <w:color w:val="444746"/>
          <w:bdr w:val="none" w:color="444746" w:sz="0" w:space="0"/>
        </w:rPr>
        <w:t>[3]</w:t>
      </w:r>
      <w:r>
        <w:rPr>
          <w:rFonts w:hint="default" w:ascii="sans-serif" w:hAnsi="sans-serif" w:eastAsia="sans-serif" w:cs="sans-serif"/>
          <w:color w:val="1F1F1F"/>
          <w:bdr w:val="none" w:color="auto" w:sz="0" w:space="0"/>
        </w:rPr>
        <w:t>。</w:t>
      </w:r>
    </w:p>
    <w:p w14:paraId="74D8527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在开发针对某一特定知识点（如前文提到的正弦函数平移）的HTML交互课件时，开发者不能将整个全功能的GGB软件直接扔给教师，这会导致界面过于繁杂，干扰教学重点。通过分析 </w:t>
      </w:r>
      <w:r>
        <w:rPr>
          <w:rStyle w:val="9"/>
          <w:rFonts w:hint="default" w:ascii="sans-serif" w:hAnsi="sans-serif" w:eastAsia="sans-serif" w:cs="sans-serif"/>
          <w:color w:val="444746"/>
          <w:bdr w:val="none" w:color="444746" w:sz="0" w:space="0"/>
        </w:rPr>
        <w:t>example-graphing.html</w:t>
      </w:r>
      <w:r>
        <w:rPr>
          <w:rFonts w:hint="default" w:ascii="sans-serif" w:hAnsi="sans-serif" w:eastAsia="sans-serif" w:cs="sans-serif"/>
          <w:color w:val="1F1F1F"/>
          <w:bdr w:val="none" w:color="auto" w:sz="0" w:space="0"/>
        </w:rPr>
        <w:t xml:space="preserve"> 等示例文件，我们可以发现 </w:t>
      </w:r>
      <w:r>
        <w:rPr>
          <w:rStyle w:val="9"/>
          <w:rFonts w:hint="default" w:ascii="sans-serif" w:hAnsi="sans-serif" w:eastAsia="sans-serif" w:cs="sans-serif"/>
          <w:color w:val="444746"/>
          <w:bdr w:val="none" w:color="444746" w:sz="0" w:space="0"/>
        </w:rPr>
        <w:t>GGBApplet</w:t>
      </w:r>
      <w:r>
        <w:rPr>
          <w:rFonts w:hint="default" w:ascii="sans-serif" w:hAnsi="sans-serif" w:eastAsia="sans-serif" w:cs="sans-serif"/>
          <w:color w:val="1F1F1F"/>
          <w:bdr w:val="none" w:color="auto" w:sz="0" w:space="0"/>
        </w:rPr>
        <w:t xml:space="preserve"> 对象接受一个包含丰富自定义选项的配置字典 </w:t>
      </w:r>
      <w:r>
        <w:rPr>
          <w:rStyle w:val="9"/>
          <w:rFonts w:hint="default" w:ascii="sans-serif" w:hAnsi="sans-serif" w:eastAsia="sans-serif" w:cs="sans-serif"/>
          <w:color w:val="444746"/>
          <w:bdr w:val="none" w:color="444746" w:sz="0" w:space="0"/>
        </w:rPr>
        <w:t>[3]</w:t>
      </w:r>
      <w:r>
        <w:rPr>
          <w:rFonts w:hint="default" w:ascii="sans-serif" w:hAnsi="sans-serif" w:eastAsia="sans-serif" w:cs="sans-serif"/>
          <w:color w:val="1F1F1F"/>
          <w:bdr w:val="none" w:color="auto" w:sz="0" w:space="0"/>
        </w:rPr>
        <w:t>。</w:t>
      </w:r>
    </w:p>
    <w:p w14:paraId="5C18619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例如，在配置面向教师演示的课件时，我们可以精细调整以下参数：</w:t>
      </w:r>
    </w:p>
    <w:p w14:paraId="428C58B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sans-serif" w:hAnsi="sans-serif" w:eastAsia="sans-serif" w:cs="sans-serif"/>
          <w:color w:val="1F1F1F"/>
        </w:rPr>
      </w:pPr>
    </w:p>
    <w:p w14:paraId="7FB0D2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界面极简主义（Interface Simplification）</w:t>
      </w:r>
      <w:r>
        <w:rPr>
          <w:rFonts w:hint="default" w:ascii="sans-serif" w:hAnsi="sans-serif" w:eastAsia="sans-serif" w:cs="sans-serif"/>
          <w:color w:val="1F1F1F"/>
          <w:bdr w:val="none" w:color="auto" w:sz="0" w:space="0"/>
        </w:rPr>
        <w:t xml:space="preserve">：通过设置 </w:t>
      </w:r>
      <w:r>
        <w:rPr>
          <w:rStyle w:val="9"/>
          <w:rFonts w:hint="default" w:ascii="sans-serif" w:hAnsi="sans-serif" w:eastAsia="sans-serif" w:cs="sans-serif"/>
          <w:color w:val="444746"/>
          <w:bdr w:val="none" w:color="444746" w:sz="0" w:space="0"/>
        </w:rPr>
        <w:t>"showToolBar": false</w:t>
      </w:r>
      <w:r>
        <w:rPr>
          <w:rFonts w:hint="default" w:ascii="sans-serif" w:hAnsi="sans-serif" w:eastAsia="sans-serif" w:cs="sans-serif"/>
          <w:color w:val="1F1F1F"/>
          <w:bdr w:val="none" w:color="auto" w:sz="0" w:space="0"/>
        </w:rPr>
        <w:t xml:space="preserve"> 和 </w:t>
      </w:r>
      <w:r>
        <w:rPr>
          <w:rStyle w:val="9"/>
          <w:rFonts w:hint="default" w:ascii="sans-serif" w:hAnsi="sans-serif" w:eastAsia="sans-serif" w:cs="sans-serif"/>
          <w:color w:val="444746"/>
          <w:bdr w:val="none" w:color="444746" w:sz="0" w:space="0"/>
        </w:rPr>
        <w:t>"showAlgebraInput": false</w:t>
      </w:r>
      <w:r>
        <w:rPr>
          <w:rFonts w:hint="default" w:ascii="sans-serif" w:hAnsi="sans-serif" w:eastAsia="sans-serif" w:cs="sans-serif"/>
          <w:color w:val="1F1F1F"/>
          <w:bdr w:val="none" w:color="auto" w:sz="0" w:space="0"/>
        </w:rPr>
        <w:t xml:space="preserve"> </w:t>
      </w:r>
      <w:r>
        <w:rPr>
          <w:rStyle w:val="9"/>
          <w:rFonts w:hint="default" w:ascii="sans-serif" w:hAnsi="sans-serif" w:eastAsia="sans-serif" w:cs="sans-serif"/>
          <w:color w:val="444746"/>
          <w:bdr w:val="none" w:color="444746" w:sz="0" w:space="0"/>
        </w:rPr>
        <w:t>[3]</w:t>
      </w:r>
      <w:r>
        <w:rPr>
          <w:rFonts w:hint="default" w:ascii="sans-serif" w:hAnsi="sans-serif" w:eastAsia="sans-serif" w:cs="sans-serif"/>
          <w:color w:val="1F1F1F"/>
          <w:bdr w:val="none" w:color="auto" w:sz="0" w:space="0"/>
        </w:rPr>
        <w:t>，可以隐藏掉复杂的几何作图工具栏和代数指令输入框。教师在课堂上只需操作我们预先设定好的动态滑块，确保教学过程流畅、专注，不被多余的UI元素打扰。</w:t>
      </w:r>
    </w:p>
    <w:p w14:paraId="648CE3B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sans-serif" w:hAnsi="sans-serif" w:eastAsia="sans-serif" w:cs="sans-serif"/>
          <w:color w:val="1F1F1F"/>
        </w:rPr>
      </w:pPr>
    </w:p>
    <w:p w14:paraId="7F245BF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sans-serif" w:hAnsi="sans-serif" w:eastAsia="sans-serif" w:cs="sans-serif"/>
          <w:color w:val="1F1F1F"/>
        </w:rPr>
      </w:pPr>
    </w:p>
    <w:p w14:paraId="465E7E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交互权限控制（Interaction Permissions）</w:t>
      </w:r>
      <w:r>
        <w:rPr>
          <w:rFonts w:hint="default" w:ascii="sans-serif" w:hAnsi="sans-serif" w:eastAsia="sans-serif" w:cs="sans-serif"/>
          <w:color w:val="1F1F1F"/>
          <w:bdr w:val="none" w:color="auto" w:sz="0" w:space="0"/>
        </w:rPr>
        <w:t xml:space="preserve">：利用 </w:t>
      </w:r>
      <w:r>
        <w:rPr>
          <w:rStyle w:val="9"/>
          <w:rFonts w:hint="default" w:ascii="sans-serif" w:hAnsi="sans-serif" w:eastAsia="sans-serif" w:cs="sans-serif"/>
          <w:color w:val="444746"/>
          <w:bdr w:val="none" w:color="444746" w:sz="0" w:space="0"/>
        </w:rPr>
        <w:t>"enableLabelDrags": false</w:t>
      </w:r>
      <w:r>
        <w:rPr>
          <w:rFonts w:hint="default" w:ascii="sans-serif" w:hAnsi="sans-serif" w:eastAsia="sans-serif" w:cs="sans-serif"/>
          <w:color w:val="1F1F1F"/>
          <w:bdr w:val="none" w:color="auto" w:sz="0" w:space="0"/>
        </w:rPr>
        <w:t xml:space="preserve"> 可以防止教师在演示时误触标签导致画面混乱，而设定 </w:t>
      </w:r>
      <w:r>
        <w:rPr>
          <w:rStyle w:val="9"/>
          <w:rFonts w:hint="default" w:ascii="sans-serif" w:hAnsi="sans-serif" w:eastAsia="sans-serif" w:cs="sans-serif"/>
          <w:color w:val="444746"/>
          <w:bdr w:val="none" w:color="444746" w:sz="0" w:space="0"/>
        </w:rPr>
        <w:t>"enableShiftDragZoom": true</w:t>
      </w:r>
      <w:r>
        <w:rPr>
          <w:rFonts w:hint="default" w:ascii="sans-serif" w:hAnsi="sans-serif" w:eastAsia="sans-serif" w:cs="sans-serif"/>
          <w:color w:val="1F1F1F"/>
          <w:bdr w:val="none" w:color="auto" w:sz="0" w:space="0"/>
        </w:rPr>
        <w:t xml:space="preserve"> 则允许教师在讲解函数的渐近线或极值点时，通过快捷键自由平移和缩放坐标系，提供极大的讲授自由度 </w:t>
      </w:r>
      <w:r>
        <w:rPr>
          <w:rStyle w:val="9"/>
          <w:rFonts w:hint="default" w:ascii="sans-serif" w:hAnsi="sans-serif" w:eastAsia="sans-serif" w:cs="sans-serif"/>
          <w:color w:val="444746"/>
          <w:bdr w:val="none" w:color="444746" w:sz="0" w:space="0"/>
        </w:rPr>
        <w:t>[3]</w:t>
      </w:r>
      <w:r>
        <w:rPr>
          <w:rFonts w:hint="default" w:ascii="sans-serif" w:hAnsi="sans-serif" w:eastAsia="sans-serif" w:cs="sans-serif"/>
          <w:color w:val="1F1F1F"/>
          <w:bdr w:val="none" w:color="auto" w:sz="0" w:space="0"/>
        </w:rPr>
        <w:t>。</w:t>
      </w:r>
    </w:p>
    <w:p w14:paraId="08775555">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sans-serif" w:hAnsi="sans-serif" w:eastAsia="sans-serif" w:cs="sans-serif"/>
          <w:color w:val="1F1F1F"/>
        </w:rPr>
      </w:pPr>
    </w:p>
    <w:p w14:paraId="0A4003D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sans-serif" w:hAnsi="sans-serif" w:eastAsia="sans-serif" w:cs="sans-serif"/>
          <w:color w:val="1F1F1F"/>
        </w:rPr>
      </w:pPr>
    </w:p>
    <w:p w14:paraId="707F2F5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按需加载与性能优化（Performance Optimization）</w:t>
      </w:r>
      <w:r>
        <w:rPr>
          <w:rFonts w:hint="default" w:ascii="sans-serif" w:hAnsi="sans-serif" w:eastAsia="sans-serif" w:cs="sans-serif"/>
          <w:color w:val="1F1F1F"/>
          <w:bdr w:val="none" w:color="auto" w:sz="0" w:space="0"/>
        </w:rPr>
        <w:t>：GeoGebra生态包含不同的应用模块（如科学计算器、CAS系统、3D画图等）</w:t>
      </w:r>
      <w:r>
        <w:rPr>
          <w:rStyle w:val="9"/>
          <w:rFonts w:hint="default" w:ascii="sans-serif" w:hAnsi="sans-serif" w:eastAsia="sans-serif" w:cs="sans-serif"/>
          <w:color w:val="444746"/>
          <w:bdr w:val="none" w:color="444746" w:sz="0" w:space="0"/>
        </w:rPr>
        <w:t>[3]</w:t>
      </w:r>
      <w:r>
        <w:rPr>
          <w:rFonts w:hint="default" w:ascii="sans-serif" w:hAnsi="sans-serif" w:eastAsia="sans-serif" w:cs="sans-serif"/>
          <w:color w:val="1F1F1F"/>
          <w:bdr w:val="none" w:color="auto" w:sz="0" w:space="0"/>
        </w:rPr>
        <w:t xml:space="preserve">。在平台的底层架构设计中，应当依据知识点的属性动态注入参数。例如，在必修第一册的代数教学中，只需加载 </w:t>
      </w:r>
      <w:r>
        <w:rPr>
          <w:rStyle w:val="9"/>
          <w:rFonts w:hint="default" w:ascii="sans-serif" w:hAnsi="sans-serif" w:eastAsia="sans-serif" w:cs="sans-serif"/>
          <w:color w:val="444746"/>
          <w:bdr w:val="none" w:color="444746" w:sz="0" w:space="0"/>
        </w:rPr>
        <w:t>"appName": "classic"</w:t>
      </w:r>
      <w:r>
        <w:rPr>
          <w:rFonts w:hint="default" w:ascii="sans-serif" w:hAnsi="sans-serif" w:eastAsia="sans-serif" w:cs="sans-serif"/>
          <w:color w:val="1F1F1F"/>
          <w:bdr w:val="none" w:color="auto" w:sz="0" w:space="0"/>
        </w:rPr>
        <w:t xml:space="preserve"> 模块；而在必修第三册的立体几何教学中，则通过配置注入特定的3D参数或预加载定制的 </w:t>
      </w:r>
      <w:r>
        <w:rPr>
          <w:rStyle w:val="9"/>
          <w:rFonts w:hint="default" w:ascii="sans-serif" w:hAnsi="sans-serif" w:eastAsia="sans-serif" w:cs="sans-serif"/>
          <w:color w:val="444746"/>
          <w:bdr w:val="none" w:color="444746" w:sz="0" w:space="0"/>
        </w:rPr>
        <w:t>.ggb</w:t>
      </w:r>
      <w:r>
        <w:rPr>
          <w:rFonts w:hint="default" w:ascii="sans-serif" w:hAnsi="sans-serif" w:eastAsia="sans-serif" w:cs="sans-serif"/>
          <w:color w:val="1F1F1F"/>
          <w:bdr w:val="none" w:color="auto" w:sz="0" w:space="0"/>
        </w:rPr>
        <w:t xml:space="preserve"> 资源文件。这种按需加载策略确保了HTML课件能够在即便配置较低的教室一体机上也能达到秒级的启动速度。</w:t>
      </w:r>
    </w:p>
    <w:p w14:paraId="4C9C2E26">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sans-serif" w:hAnsi="sans-serif" w:eastAsia="sans-serif" w:cs="sans-serif"/>
          <w:color w:val="1F1F1F"/>
        </w:rPr>
      </w:pPr>
    </w:p>
    <w:p w14:paraId="3A47046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通过这种“底层强大引擎+上层高度定制参数”的技术路线，平台既保证了数学计算的绝对严密性，又实现了极佳的教学可用性与针对性 </w:t>
      </w:r>
      <w:r>
        <w:rPr>
          <w:rStyle w:val="9"/>
          <w:rFonts w:hint="default" w:ascii="sans-serif" w:hAnsi="sans-serif" w:eastAsia="sans-serif" w:cs="sans-serif"/>
          <w:color w:val="444746"/>
          <w:bdr w:val="none" w:color="444746" w:sz="0" w:space="0"/>
        </w:rPr>
        <w:t>[3, 4]</w:t>
      </w:r>
      <w:r>
        <w:rPr>
          <w:rFonts w:hint="default" w:ascii="sans-serif" w:hAnsi="sans-serif" w:eastAsia="sans-serif" w:cs="sans-serif"/>
          <w:color w:val="1F1F1F"/>
          <w:bdr w:val="none" w:color="auto" w:sz="0" w:space="0"/>
        </w:rPr>
        <w:t>。</w:t>
      </w:r>
    </w:p>
    <w:p w14:paraId="06EA80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上海微校及官方体系资源的整合与互补战略</w:t>
      </w:r>
    </w:p>
    <w:p w14:paraId="5FD262D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一个优秀的教育平台不能脱离其所处的政策环境与既有官方体系。在上海市的基础教育生态中，由官方主导的“上海中小学教育资源平台”（上海微校等平台）扮演着权威基准的角色。理解并合理利用这些官方平台的数据结构与内容特点，是新平台获得广泛推广与应用的关键。</w:t>
      </w:r>
    </w:p>
    <w:p w14:paraId="1289508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官方平台的资源特征与生态占位</w:t>
      </w:r>
    </w:p>
    <w:p w14:paraId="2E040CB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全面排摸官方平台可以发现，其内部集成了严格对应沪教版教学大纲的教案、课件PPT、微课视频以及练习题库。这些资源的最大优势在于其绝对的权威性、与课程标准的完美贴合性以及严谨的学科逻辑。然而，从数字媒体技术的维度来看，官方平台上的PPT教案大多属于“静态呈现媒体”。虽然PPT可以加入翻页动画，但它无法实现基于数学公式逻辑的实时演算与图形变化；微课视频虽然具有时间维度的流媒体属性，但其本质是不可交互的线性播放，教师无法在播放过程中根据学生的实时反应修改参数。</w:t>
      </w:r>
    </w:p>
    <w:p w14:paraId="46C420A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动态微课件插件化与协同运作模式</w:t>
      </w:r>
    </w:p>
    <w:p w14:paraId="64D69A3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基于此分析，本平台的战略定位应当是“官方静态资源的动态化延伸与互补”，而非试图全面替代官方系统。在平台架构设计上，应当采用高度细颗粒度的“微课件（Micro-Courseware）”模式。</w:t>
      </w:r>
    </w:p>
    <w:p w14:paraId="59D9EA0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意味着，本平台生成的交互式HTML文件不再是动辄几十页的完整PPT，而是针对某一个具体痛点（例如，仅展示指数函数与对数函数的反函数对称关系）的单页或弹窗式交互组件。教师可以先在上海中小学教育资源平台上下载标准的官方教案与骨架PPT，然后在本平台根据该课时检索出特定的动态教具URL链接或嵌入代码。通过将本平台的HTML微课件直接嵌入到传统PPT的网页容器中，教师就完成了对官方标准资源的“交互性升级”。这种无缝协同的运作模式，既保证了教学大纲的规范性，又赋予了课堂前所未有的科技活力。</w:t>
      </w:r>
    </w:p>
    <w:p w14:paraId="0C0D14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商业教育云平台生态分析：以“飞象教师”等为例的融合路径</w:t>
      </w:r>
    </w:p>
    <w:p w14:paraId="1C3C3B9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除了官方平台，当前教育科技市场上活跃着诸如“飞象教师”等各类商业化教育云平台。分析这些平台的产品形态与商业逻辑，有助于我们设计出更具竞争力和生态兼容性的系统架构。</w:t>
      </w:r>
    </w:p>
    <w:p w14:paraId="4F579FA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现有商业云平台的功能侧重与局限</w:t>
      </w:r>
    </w:p>
    <w:p w14:paraId="7279BA2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以“飞象教师”为代表的先进平台，其核心优势往往集中在“教学工作流的AI赋能”上。它们擅长利用自然语言处理大模型进行自动化教案生成、利用图像识别技术进行作业批改、以及利用大数据进行学情分析。在备课环节，这类平台提供海量的素材库与富文本编辑器，极大地减轻了教师的文案撰写负担。</w:t>
      </w:r>
    </w:p>
    <w:p w14:paraId="51FC03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然而，在深入具体的理科教学环节时，这类通用型平台的局限性显露无疑。它们内置的数学工具通常仅限于静态公式编辑器或简单的画板（允许教师用电子笔书写或拉取标准图形）。它们缺乏底层统一的代数几何逻辑引擎，无法实现“改变一个代数方程，屏幕上的几何图形随之扭曲变形”的深度数学交互。这正是当前商业平台生态圈中的一个明显空白，也是本平台切入市场的绝对优势所在。</w:t>
      </w:r>
    </w:p>
    <w:p w14:paraId="46124C6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跨平台集成策略与API接口设计</w:t>
      </w:r>
    </w:p>
    <w:p w14:paraId="780F62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为了实现价值最大化，本平台不应建立封闭的系统孤岛，而应致力于成为整个教育科技生态中的“交互式数学教具供应商”。在系统研发之初，就需要规划强大的应用程序编程接口（API）与跨域集成方案。</w:t>
      </w:r>
    </w:p>
    <w:p w14:paraId="23137ED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一方面，平台可以支持学习工具互操作性标准（LTI, Learning Tools Interoperability）。这使得本平台的交互课件能够被一键无缝接入到诸如Canvas、Moodle或者飞象教师等第三方教学管理系统中。当教师在飞象平台编辑教案时，可以通过插件形式直接调用本平台的知识点图谱，选取对应的“圆锥曲线离心率演示模块”，并以 </w:t>
      </w:r>
      <w:r>
        <w:rPr>
          <w:rStyle w:val="9"/>
          <w:rFonts w:hint="default" w:ascii="sans-serif" w:hAnsi="sans-serif" w:eastAsia="sans-serif" w:cs="sans-serif"/>
          <w:color w:val="444746"/>
          <w:bdr w:val="none" w:color="444746" w:sz="0" w:space="0"/>
        </w:rPr>
        <w:t>&lt;iframe&gt;</w:t>
      </w:r>
      <w:r>
        <w:rPr>
          <w:rFonts w:hint="default" w:ascii="sans-serif" w:hAnsi="sans-serif" w:eastAsia="sans-serif" w:cs="sans-serif"/>
          <w:color w:val="1F1F1F"/>
          <w:bdr w:val="none" w:color="auto" w:sz="0" w:space="0"/>
        </w:rPr>
        <w:t xml:space="preserve"> 的形式将其嵌入到教案页面中。</w:t>
      </w:r>
    </w:p>
    <w:p w14:paraId="56DBBFF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另一方面，平台必须支持教师将定制好的课件状态进行云端保存与链接分享。当教师完成了对GeoGebra底层参数的微调后，系统将这组配置状态序列化为一段极简的短链接。教师只需将这段链接粘贴进任何支持网页浏览的授课软件中，即可在教室的大屏幕上瞬时复现其备课时的交互场景。通过这种开放的融合策略，平台能够迅速渗透并依托现有的教育云平台网络，形成广泛的影响力。</w:t>
      </w:r>
    </w:p>
    <w:p w14:paraId="0F6B037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数字化课件聚合云平台的系统架构蓝图</w:t>
      </w:r>
    </w:p>
    <w:p w14:paraId="059784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基于上述对课程大纲的映射、技术底座的剖析以及外部生态的考量，一个面向教师的聚合型在线教育资源云平台的整体技术架构可被清晰地划分为三个核心层级：知识图谱内容管理层、教师工作台业务逻辑层以及交互式渲染展现层。</w:t>
      </w:r>
    </w:p>
    <w:p w14:paraId="45FB472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知识图谱内容管理层（底层数据核心）</w:t>
      </w:r>
    </w:p>
    <w:p w14:paraId="624CCBD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摒弃传统且低效的文件夹目录式存储，平台的数据核心必须构建在一套严密的数学学科知识图谱数据库之上。该图谱以沪教版高中数学课程标准为核心骨架，每一个节点代表一个具体的知识元（如：“等比数列求和公式”或“空间直角坐标系”）。</w:t>
      </w:r>
    </w:p>
    <w:p w14:paraId="4802708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节点之间通过边建立复杂的语义关联。例如，“诱导公式”节点不仅前置依赖于“单位圆”，还横向关联于“奇偶性”节点。每一个交互式HTML课件资源不仅被打上唯一的知识点标签，更通过图谱继承了这些关联属性。其深层战略意义在于，当教师在平台上检索“三角函数图像平移”的课件时，系统能够基于知识图谱，智能且主动地在侧边栏推荐“单位圆弧度映射”的复习型课件作为前置补充。这种基于图谱的智能检索体系，使得平台不仅仅是一个工具库，更具备了辅助教学逻辑设计的专家系统属性。</w:t>
      </w:r>
    </w:p>
    <w:p w14:paraId="0D41160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教师工作台业务逻辑层（中台服务枢纽）</w:t>
      </w:r>
    </w:p>
    <w:p w14:paraId="391A2BD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教师工作台是平台直接面向用户的交互界面。其核心设计理念是“所见即所得”与“极简定制”。工作台首页应呈现与上海中小学教材目录完全一致的树状导航结构，使得教师无需经过额外的学习即可凭借日常教学经验快速定位资源。</w:t>
      </w:r>
    </w:p>
    <w:p w14:paraId="5EA7F65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在具体课件的详情页，工作台提供轻量化的参数定制面板。鉴于多数一线教师不具备代码编写能力，该面板将底层的 </w:t>
      </w:r>
      <w:r>
        <w:rPr>
          <w:rStyle w:val="9"/>
          <w:rFonts w:hint="default" w:ascii="sans-serif" w:hAnsi="sans-serif" w:eastAsia="sans-serif" w:cs="sans-serif"/>
          <w:color w:val="444746"/>
          <w:bdr w:val="none" w:color="444746" w:sz="0" w:space="0"/>
        </w:rPr>
        <w:t>deployggb.js</w:t>
      </w:r>
      <w:r>
        <w:rPr>
          <w:rFonts w:hint="default" w:ascii="sans-serif" w:hAnsi="sans-serif" w:eastAsia="sans-serif" w:cs="sans-serif"/>
          <w:color w:val="1F1F1F"/>
          <w:bdr w:val="none" w:color="auto" w:sz="0" w:space="0"/>
        </w:rPr>
        <w:t xml:space="preserve"> 参数 </w:t>
      </w:r>
      <w:r>
        <w:rPr>
          <w:rStyle w:val="9"/>
          <w:rFonts w:hint="default" w:ascii="sans-serif" w:hAnsi="sans-serif" w:eastAsia="sans-serif" w:cs="sans-serif"/>
          <w:color w:val="444746"/>
          <w:bdr w:val="none" w:color="444746" w:sz="0" w:space="0"/>
        </w:rPr>
        <w:t>[3]</w:t>
      </w:r>
      <w:r>
        <w:rPr>
          <w:rFonts w:hint="default" w:ascii="sans-serif" w:hAnsi="sans-serif" w:eastAsia="sans-serif" w:cs="sans-serif"/>
          <w:color w:val="1F1F1F"/>
          <w:bdr w:val="none" w:color="auto" w:sz="0" w:space="0"/>
        </w:rPr>
        <w:t xml:space="preserve"> 抽象为直观的UI开关按钮。例如，提供“显示/隐藏坐标系”、“开启/关闭标签拖拽功能”的拨动开关，甚至提供主题配色方案的选择（例如适配教室暗光环境的夜间高对比度模式）。教师在此面板上的所有操作，系统将在后台自动拼接成合法的GGB配置字典，并实时在预览窗口中渲染出效果。确认无误后，教师可一键将其保存至“我的云端教案库”中。</w:t>
      </w:r>
    </w:p>
    <w:p w14:paraId="10448D3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交互式渲染展现层（前端交付终端）</w:t>
      </w:r>
    </w:p>
    <w:p w14:paraId="4056E70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前端渲染层必须追求极致的加载速度与多端兼容性。由于最终的教学场景多发生在学校的多媒体一体机上，网络环境与硬件算力可能存在波动。前端代码应采用响应式布局，自动侦测设备屏幕分辨率并计算最优的Canvas画布尺寸。</w:t>
      </w:r>
    </w:p>
    <w:p w14:paraId="2D1A34D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此外，为了确保课件在没有网络环境的极端情况下依然可用，平台应当开发一种“打包导出”机制。允许教师将基于HTML、JS逻辑文件（包括微缩版的运算引擎库）以及相关参数文件整体打包成一个独立的单页面应用（SPA）或压缩包，供教师下载至本地U盘直接双击运行。这种云端定制、本地执行的双轨制交付策略，将彻底打消教师对数字化教具稳定性的顾虑，确保教学过程的万无一失。</w:t>
      </w:r>
    </w:p>
    <w:p w14:paraId="67447CA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共创生态构建与资源质量控制体系</w:t>
      </w:r>
    </w:p>
    <w:p w14:paraId="034C9EB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一个真正卓越的教育资源聚合平台，单凭少数研发人员的闭门造车是无法实现持续繁荣的。要实现对沪教版所有知识点的“地毯式”覆盖，以及针对不同层次学生痛点的精准打击，必须激发并汇聚全上海乃至全国高中数学骨干教师的智慧，打造一个典型的UGC（用户生成内容）与PGC（专业生成内容）相结合的共创生态圈。</w:t>
      </w:r>
    </w:p>
    <w:p w14:paraId="56D309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开放式课件创作工作室</w:t>
      </w:r>
    </w:p>
    <w:p w14:paraId="612AB39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平台内部应当集成一个基于云端的“数字课件创客工作室”。对于具备一定GeoGebra操作基础的高阶教师或教研员，平台向其全面开放无阉割版的在线编辑环境。创作者可以直接在浏览器中绘制几何图形、编写代数表达式、设置动画触发器，并将自己多年积累的独特教学巧思转化为交互课件。完成创作后，创作者可以将课件提交至平台的公共审核池，并为其标注适配的教材章节与知识点。</w:t>
      </w:r>
    </w:p>
    <w:p w14:paraId="49E2531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严密的多级质量评审与反馈机制</w:t>
      </w:r>
    </w:p>
    <w:p w14:paraId="0408419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为了避免平台资源陷入低质化泛滥的泥潭，必须建立一套严谨的同行评议与教研审核机制。任何提交到知识图谱主节点的课件，都必须经历以下三个维度的严格审查：</w:t>
      </w:r>
    </w:p>
    <w:p w14:paraId="130F72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数学逻辑的严密性审核</w:t>
      </w:r>
      <w:r>
        <w:rPr>
          <w:rFonts w:hint="default" w:ascii="sans-serif" w:hAnsi="sans-serif" w:eastAsia="sans-serif" w:cs="sans-serif"/>
          <w:color w:val="1F1F1F"/>
          <w:bdr w:val="none" w:color="auto" w:sz="0" w:space="0"/>
        </w:rPr>
        <w:t>。由计算引擎辅助及人工校验，确保当参数滑块滑动至极端值时（例如分母趋向于零时），课件能够正确处理数学上的无意义状态，而不是出现崩溃或误导性的错误图像。</w:t>
      </w:r>
    </w:p>
    <w:p w14:paraId="16B65DC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第二，</w:t>
      </w:r>
      <w:r>
        <w:rPr>
          <w:rFonts w:hint="default" w:ascii="sans-serif" w:hAnsi="sans-serif" w:eastAsia="sans-serif" w:cs="sans-serif"/>
          <w:b/>
          <w:bCs/>
          <w:color w:val="1F1F1F"/>
          <w:bdr w:val="none" w:color="1F1F1F" w:sz="0" w:space="0"/>
        </w:rPr>
        <w:t>教学目标的契合度审核</w:t>
      </w:r>
      <w:r>
        <w:rPr>
          <w:rFonts w:hint="default" w:ascii="sans-serif" w:hAnsi="sans-serif" w:eastAsia="sans-serif" w:cs="sans-serif"/>
          <w:color w:val="1F1F1F"/>
          <w:bdr w:val="none" w:color="auto" w:sz="0" w:space="0"/>
        </w:rPr>
        <w:t>。评估该教具是否真正击中了沪教版教材所设定的特定认知痛点，其交互设计是否能够有效降低学生的认知负载，而非增加无效的视觉干扰。</w:t>
      </w:r>
    </w:p>
    <w:p w14:paraId="4E841D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第三，</w:t>
      </w:r>
      <w:r>
        <w:rPr>
          <w:rFonts w:hint="default" w:ascii="sans-serif" w:hAnsi="sans-serif" w:eastAsia="sans-serif" w:cs="sans-serif"/>
          <w:b/>
          <w:bCs/>
          <w:color w:val="1F1F1F"/>
          <w:bdr w:val="none" w:color="1F1F1F" w:sz="0" w:space="0"/>
        </w:rPr>
        <w:t>人机交互的工程体验审核</w:t>
      </w:r>
      <w:r>
        <w:rPr>
          <w:rFonts w:hint="default" w:ascii="sans-serif" w:hAnsi="sans-serif" w:eastAsia="sans-serif" w:cs="sans-serif"/>
          <w:color w:val="1F1F1F"/>
          <w:bdr w:val="none" w:color="auto" w:sz="0" w:space="0"/>
        </w:rPr>
        <w:t>。确保界面色彩对比度适宜，交互按钮大小适合电子白板上的手指点触，操作逻辑符合直觉。</w:t>
      </w:r>
    </w:p>
    <w:p w14:paraId="6E6518C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经过层层筛选并被录用的优秀课件，其作者将获得平台认证的教研积分体系奖励。这种正向激励机制将源源不断地吸引优秀的教育工作者加入到平台建设中来，使平台如同一个拥有自进化能力的有机体，始终保持教育前沿的敏锐度与资源的高质量水平。</w:t>
      </w:r>
    </w:p>
    <w:p w14:paraId="14CCA5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结论</w:t>
      </w:r>
    </w:p>
    <w:p w14:paraId="224D296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综上所述，构建面向沪教版高中数学的线上交互式数字化课件聚合平台，是一项深度融合了教育心理学、现代数学理念与前沿计算机网络技术的系统性工程。通过对高中必修与选择性必修模块知识图谱的详尽解构，我们精准锁定了正弦函数映射、圆锥曲线轨迹生成、立体几何空间变换以及微积分极限思想等核心教学痛点。平台的技术架构应当高度借鉴GitHub社区中成熟的GeoGebra开源生态框架，通过参数化定制与HTML5轻量化部署，实现复杂的动态数学渲染 </w:t>
      </w:r>
      <w:r>
        <w:rPr>
          <w:rStyle w:val="9"/>
          <w:rFonts w:hint="default" w:ascii="sans-serif" w:hAnsi="sans-serif" w:eastAsia="sans-serif" w:cs="sans-serif"/>
          <w:color w:val="444746"/>
          <w:bdr w:val="none" w:color="444746" w:sz="0" w:space="0"/>
        </w:rPr>
        <w:t>[2, 3]</w:t>
      </w:r>
      <w:r>
        <w:rPr>
          <w:rFonts w:hint="default" w:ascii="sans-serif" w:hAnsi="sans-serif" w:eastAsia="sans-serif" w:cs="sans-serif"/>
          <w:color w:val="1F1F1F"/>
          <w:bdr w:val="none" w:color="auto" w:sz="0" w:space="0"/>
        </w:rPr>
        <w:t>。</w:t>
      </w:r>
    </w:p>
    <w:p w14:paraId="2BD8EF6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更为重要的是，本平台在战略定位上绝不是一个孤立的数字孤岛。它必须深刻理解并顺应上海中小学教育平台的官方标准体系，同时巧妙利用LTI协议与API接口，嵌入并赋能诸如飞象教师等广泛的商业教育云生态。辅以严密的知识图谱内容管理与高度开放的教师共创评审机制，该平台必将重塑高中数学的数字备课与授课工作流，成为每一位数学教师打破传统静态局限、引领学生迈入动态抽象数学殿堂的终极数字化利器。这不仅是教具形态的一次革新，更是迈向教育高质量、数字化未来的坚实步伐。</w:t>
      </w:r>
    </w:p>
    <w:p w14:paraId="7A93C32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E9F19"/>
    <w:multiLevelType w:val="multilevel"/>
    <w:tmpl w:val="FFBE9F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A82EB"/>
    <w:rsid w:val="1F7A8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2026-04-30T08:37:00Z</dcterms:created>
  <dc:creator>张熠宸</dc:creator>
  <cp:lastModifiedBy>张熠宸</cp:lastModifiedBy>
  <dcterms:modified xsi:type="dcterms:W3CDTF">2026-04-30T08:37:24Z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870B61D4BBDAA12A3EA4F26985ED9D2F_41</vt:lpwstr>
  </property>
</Properties>
</file>