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99" w:rsidRDefault="004D2799" w:rsidP="004D2799">
      <w:pPr>
        <w:pStyle w:val="Tytu"/>
        <w:jc w:val="center"/>
      </w:pPr>
      <w:r>
        <w:t>Miernik THD – wyniki dotychczasowych prac</w:t>
      </w:r>
    </w:p>
    <w:p w:rsidR="004D2799" w:rsidRDefault="004D2799" w:rsidP="004D2799">
      <w:pPr>
        <w:pStyle w:val="Podtytu"/>
        <w:jc w:val="center"/>
      </w:pPr>
      <w:r>
        <w:t>Wojciech Zieliński, Elektrotechnika, Praca Magisterska</w:t>
      </w:r>
    </w:p>
    <w:p w:rsidR="004D2799" w:rsidRDefault="004D2799"/>
    <w:p w:rsidR="004D2799" w:rsidRDefault="004D2799" w:rsidP="00CE5DF3">
      <w:pPr>
        <w:pStyle w:val="Nagwek2"/>
      </w:pPr>
      <w:r>
        <w:t>Opis ogólny</w:t>
      </w:r>
    </w:p>
    <w:p w:rsidR="004D2799" w:rsidRDefault="004D2799">
      <w:r>
        <w:t xml:space="preserve">Dokonano implementacji miernika THD sygnałów napięciowych 50 Hz na płytce rozwojowej FRDM-KL25Z wyposażonej w mikrokontroler ARM </w:t>
      </w:r>
      <w:proofErr w:type="spellStart"/>
      <w:r>
        <w:t>Cortex</w:t>
      </w:r>
      <w:proofErr w:type="spellEnd"/>
      <w:r>
        <w:t xml:space="preserve"> M0+. Program został napisany przy użyciu biblioteki i środowiska </w:t>
      </w:r>
      <w:proofErr w:type="spellStart"/>
      <w:r>
        <w:t>mbed</w:t>
      </w:r>
      <w:proofErr w:type="spellEnd"/>
      <w:r>
        <w:t>.</w:t>
      </w:r>
    </w:p>
    <w:p w:rsidR="004D2799" w:rsidRDefault="004D2799">
      <w:r>
        <w:t>Dodatkowo przygotowano płytkę</w:t>
      </w:r>
      <w:r w:rsidR="00823394">
        <w:t xml:space="preserve"> drukowaną zawierającą zewnętrzną</w:t>
      </w:r>
      <w:r>
        <w:t xml:space="preserve"> pamięć RAM oraz układ filtra </w:t>
      </w:r>
      <w:proofErr w:type="spellStart"/>
      <w:r>
        <w:t>antyaliasingowego</w:t>
      </w:r>
      <w:proofErr w:type="spellEnd"/>
      <w:r>
        <w:t xml:space="preserve">. Płytka posiada także gniazda na wyświetlacz OLED oraz </w:t>
      </w:r>
      <w:r w:rsidR="00823394">
        <w:t>wejście badanego sygnału.</w:t>
      </w:r>
    </w:p>
    <w:p w:rsidR="00823394" w:rsidRDefault="00823394"/>
    <w:p w:rsidR="00823394" w:rsidRDefault="00BB39B1" w:rsidP="00CE5DF3">
      <w:pPr>
        <w:pStyle w:val="Nagwek2"/>
      </w:pPr>
      <w:r>
        <w:t>Działanie</w:t>
      </w:r>
      <w:r w:rsidR="00823394">
        <w:t xml:space="preserve"> </w:t>
      </w:r>
    </w:p>
    <w:p w:rsidR="00823394" w:rsidRDefault="00823394">
      <w:r>
        <w:t xml:space="preserve">Jako filtra </w:t>
      </w:r>
      <w:proofErr w:type="spellStart"/>
      <w:r>
        <w:t>antyaliasingowego</w:t>
      </w:r>
      <w:proofErr w:type="spellEnd"/>
      <w:r>
        <w:t xml:space="preserve"> użyto układu MAX295 – filtra </w:t>
      </w:r>
      <w:proofErr w:type="spellStart"/>
      <w:r>
        <w:t>Butterwortha</w:t>
      </w:r>
      <w:proofErr w:type="spellEnd"/>
      <w:r>
        <w:t xml:space="preserve"> 8. rzędu typu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capacitor</w:t>
      </w:r>
      <w:proofErr w:type="spellEnd"/>
      <w:r>
        <w:t xml:space="preserve"> o częstotliwości granicznej 2,5kHz. Dodatkowo na wyjściu układu umieszczono filtr </w:t>
      </w:r>
      <w:proofErr w:type="spellStart"/>
      <w:r>
        <w:t>Butterwortha</w:t>
      </w:r>
      <w:proofErr w:type="spellEnd"/>
      <w:r>
        <w:t xml:space="preserve"> 2. rzędu o częstotliwości granicznej 10kHz w celu odfiltrowania zakłóceń cyfrowych generowanych przez klucze w układzie.</w:t>
      </w:r>
    </w:p>
    <w:p w:rsidR="00823394" w:rsidRDefault="00823394">
      <w:r>
        <w:t xml:space="preserve">Urządzenie umożliwia pomiar częstotliwości sygnału zgodnie z normą IEC 61000-4-30:2015. Następnie na podstawie częstotliwości sygnału dobierana jest częstotliwość próbkowania zapewniająca próbkowanie wystarczająco szybkie i długie dla wymagań pow. normy. </w:t>
      </w:r>
      <w:proofErr w:type="spellStart"/>
      <w:r>
        <w:t>Spróbkowany</w:t>
      </w:r>
      <w:proofErr w:type="spellEnd"/>
      <w:r>
        <w:t xml:space="preserve"> sygnał jest okienkowany, a następnie liczone jest jego FFT, którego wynik służy do wyznaczenia THD.</w:t>
      </w:r>
      <w:r w:rsidR="00BB39B1">
        <w:t xml:space="preserve"> W celu zmniejszenia wpływu szumów umożliwiono uśrednienie dowolnej liczby wyznaczonych FFT. </w:t>
      </w:r>
    </w:p>
    <w:p w:rsidR="00BB39B1" w:rsidRDefault="00BB39B1"/>
    <w:p w:rsidR="00BB39B1" w:rsidRDefault="00BB39B1" w:rsidP="00CE5DF3">
      <w:pPr>
        <w:pStyle w:val="Nagwek1"/>
      </w:pPr>
      <w:r>
        <w:t>Wyniki pomiarów</w:t>
      </w:r>
    </w:p>
    <w:p w:rsidR="00BB39B1" w:rsidRDefault="00BB39B1" w:rsidP="00CE5DF3">
      <w:pPr>
        <w:pStyle w:val="Nagwek2"/>
      </w:pPr>
      <w:r>
        <w:t>Próbkowanie</w:t>
      </w:r>
    </w:p>
    <w:p w:rsidR="00BB39B1" w:rsidRDefault="00BB39B1">
      <w:r>
        <w:t xml:space="preserve">Z powodu konieczności uśredniania kilku pomiarów zaimplementowano funkcję synchronizowania fazy próbkowanego sygnału. Jej działanie widać na poniższych wykresach, na których nałożono 16 kolejnych </w:t>
      </w:r>
      <w:proofErr w:type="spellStart"/>
      <w:r>
        <w:t>spróbkowanych</w:t>
      </w:r>
      <w:proofErr w:type="spellEnd"/>
      <w:r>
        <w:t xml:space="preserve"> fragmentów:</w:t>
      </w:r>
    </w:p>
    <w:p w:rsidR="00BB39B1" w:rsidRDefault="00BB39B1"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3148330</wp:posOffset>
            </wp:positionV>
            <wp:extent cx="7883525" cy="4114800"/>
            <wp:effectExtent l="19050" t="0" r="3175" b="0"/>
            <wp:wrapSquare wrapText="bothSides"/>
            <wp:docPr id="2" name="Obraz 1" descr="RectW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Waves.png"/>
                    <pic:cNvPicPr/>
                  </pic:nvPicPr>
                  <pic:blipFill>
                    <a:blip r:embed="rId5" cstate="print"/>
                    <a:srcRect l="8744"/>
                    <a:stretch>
                      <a:fillRect/>
                    </a:stretch>
                  </pic:blipFill>
                  <pic:spPr>
                    <a:xfrm>
                      <a:off x="0" y="0"/>
                      <a:ext cx="7883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-899795</wp:posOffset>
            </wp:positionV>
            <wp:extent cx="7791450" cy="4048125"/>
            <wp:effectExtent l="19050" t="0" r="0" b="0"/>
            <wp:wrapSquare wrapText="bothSides"/>
            <wp:docPr id="1" name="Obraz 0" descr="SineW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eWaves.png"/>
                    <pic:cNvPicPr/>
                  </pic:nvPicPr>
                  <pic:blipFill>
                    <a:blip r:embed="rId6" cstate="print"/>
                    <a:srcRect l="829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 przykładzie przebiegu sinusoidalnego widać, że próbko</w:t>
      </w:r>
      <w:r w:rsidR="00C71210">
        <w:t>wanie odbywa się nieco za wolno</w:t>
      </w:r>
      <w:r>
        <w:t xml:space="preserve">. Biorąc jednak pod uwagę wymaganą liczbę próbek (2048) i maksymalną częstotliwość zegarów mikrokontrolera (24MHz) jest to graniczna dokładność możliwa do uzyskania. Sytuacja ta prowadzi do powstania przecieku FFT, który jest niwelowany przy użyciu okna </w:t>
      </w:r>
      <w:proofErr w:type="spellStart"/>
      <w:r>
        <w:t>Blackmana</w:t>
      </w:r>
      <w:proofErr w:type="spellEnd"/>
      <w:r>
        <w:t>. Użycie okien jest jednak niezgodne z IEC 61000-4-30:2015.</w:t>
      </w:r>
    </w:p>
    <w:p w:rsidR="008C3BA0" w:rsidRDefault="008C3BA0">
      <w:r>
        <w:t xml:space="preserve">Zbliżenie na </w:t>
      </w:r>
      <w:proofErr w:type="spellStart"/>
      <w:r>
        <w:t>spróbkowane</w:t>
      </w:r>
      <w:proofErr w:type="spellEnd"/>
      <w:r>
        <w:t xml:space="preserve"> sygnały ujawnia obecność szumów, które muszą zostać zniwelowane przez uśrednianie:</w:t>
      </w:r>
    </w:p>
    <w:p w:rsidR="008C3BA0" w:rsidRDefault="008C3BA0">
      <w:r>
        <w:rPr>
          <w:noProof/>
          <w:lang w:eastAsia="pl-PL"/>
        </w:rPr>
        <w:lastRenderedPageBreak/>
        <w:drawing>
          <wp:inline distT="0" distB="0" distL="0" distR="0">
            <wp:extent cx="5881291" cy="3314700"/>
            <wp:effectExtent l="19050" t="0" r="5159" b="0"/>
            <wp:docPr id="3" name="Obraz 2" descr="SineWaves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eWavesZoom.png"/>
                    <pic:cNvPicPr/>
                  </pic:nvPicPr>
                  <pic:blipFill>
                    <a:blip r:embed="rId7" cstate="print"/>
                    <a:srcRect l="8099" r="7438"/>
                    <a:stretch>
                      <a:fillRect/>
                    </a:stretch>
                  </pic:blipFill>
                  <pic:spPr>
                    <a:xfrm>
                      <a:off x="0" y="0"/>
                      <a:ext cx="5881291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A0" w:rsidRDefault="008C3BA0">
      <w:r>
        <w:rPr>
          <w:noProof/>
          <w:lang w:eastAsia="pl-PL"/>
        </w:rPr>
        <w:drawing>
          <wp:inline distT="0" distB="0" distL="0" distR="0">
            <wp:extent cx="5784949" cy="3286125"/>
            <wp:effectExtent l="19050" t="0" r="6251" b="0"/>
            <wp:docPr id="4" name="Obraz 3" descr="RectWaves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WavesZoom.png"/>
                    <pic:cNvPicPr/>
                  </pic:nvPicPr>
                  <pic:blipFill>
                    <a:blip r:embed="rId8" cstate="print"/>
                    <a:srcRect l="8099" r="8099"/>
                    <a:stretch>
                      <a:fillRect/>
                    </a:stretch>
                  </pic:blipFill>
                  <pic:spPr>
                    <a:xfrm>
                      <a:off x="0" y="0"/>
                      <a:ext cx="5784949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A0" w:rsidRDefault="008C3BA0"/>
    <w:p w:rsidR="00CE5DF3" w:rsidRDefault="00CE5DF3"/>
    <w:p w:rsidR="00CE5DF3" w:rsidRDefault="00CE5DF3"/>
    <w:p w:rsidR="00CE5DF3" w:rsidRDefault="00CE5DF3"/>
    <w:p w:rsidR="008C3BA0" w:rsidRDefault="008C3BA0" w:rsidP="00CE5DF3">
      <w:pPr>
        <w:pStyle w:val="Nagwek2"/>
      </w:pPr>
      <w:r>
        <w:lastRenderedPageBreak/>
        <w:t>Wpływ funkcji okna na dokładność pomiaru</w:t>
      </w:r>
    </w:p>
    <w:p w:rsidR="008C3BA0" w:rsidRDefault="008C3BA0">
      <w:r>
        <w:t xml:space="preserve">Brak możliwości precyzyjnej synchronizacji wymusza wykorzystanie okienkowania, wbrew IEC 61000-4-30:2015. Dokonano zatem serii 100 pomiarów bez uśredniania dla czterech typów okien: prostokątnego, </w:t>
      </w:r>
      <w:proofErr w:type="spellStart"/>
      <w:r>
        <w:t>Hamminga</w:t>
      </w:r>
      <w:proofErr w:type="spellEnd"/>
      <w:r>
        <w:t xml:space="preserve">, Hanninga i </w:t>
      </w:r>
      <w:proofErr w:type="spellStart"/>
      <w:r>
        <w:t>Blackmana</w:t>
      </w:r>
      <w:proofErr w:type="spellEnd"/>
      <w:r>
        <w:t>. Wyniki zostały zebrane w poniższej tabeli: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966321" w:rsidTr="00966321">
        <w:tc>
          <w:tcPr>
            <w:tcW w:w="1842" w:type="dxa"/>
            <w:vMerge w:val="restart"/>
            <w:tcBorders>
              <w:top w:val="nil"/>
              <w:left w:val="nil"/>
            </w:tcBorders>
          </w:tcPr>
          <w:p w:rsidR="00966321" w:rsidRDefault="00966321"/>
        </w:tc>
        <w:tc>
          <w:tcPr>
            <w:tcW w:w="3684" w:type="dxa"/>
            <w:gridSpan w:val="2"/>
            <w:tcBorders>
              <w:right w:val="single" w:sz="12" w:space="0" w:color="auto"/>
            </w:tcBorders>
          </w:tcPr>
          <w:p w:rsidR="00966321" w:rsidRPr="00966321" w:rsidRDefault="00966321" w:rsidP="00966321">
            <w:pPr>
              <w:jc w:val="center"/>
              <w:rPr>
                <w:b/>
              </w:rPr>
            </w:pPr>
            <w:r w:rsidRPr="00966321">
              <w:rPr>
                <w:b/>
              </w:rPr>
              <w:t>Sinusoida (THD = 0.00%)</w:t>
            </w:r>
          </w:p>
        </w:tc>
        <w:tc>
          <w:tcPr>
            <w:tcW w:w="3686" w:type="dxa"/>
            <w:gridSpan w:val="2"/>
            <w:tcBorders>
              <w:left w:val="single" w:sz="12" w:space="0" w:color="auto"/>
            </w:tcBorders>
          </w:tcPr>
          <w:p w:rsidR="00966321" w:rsidRPr="00966321" w:rsidRDefault="00966321" w:rsidP="00966321">
            <w:pPr>
              <w:jc w:val="center"/>
              <w:rPr>
                <w:b/>
              </w:rPr>
            </w:pPr>
            <w:r w:rsidRPr="00966321">
              <w:rPr>
                <w:b/>
              </w:rPr>
              <w:t>Prostokąt (THD = 47.03%)</w:t>
            </w:r>
          </w:p>
        </w:tc>
      </w:tr>
      <w:tr w:rsidR="00966321" w:rsidTr="00966321">
        <w:tc>
          <w:tcPr>
            <w:tcW w:w="1842" w:type="dxa"/>
            <w:vMerge/>
            <w:tcBorders>
              <w:left w:val="nil"/>
            </w:tcBorders>
          </w:tcPr>
          <w:p w:rsidR="00966321" w:rsidRDefault="00966321"/>
        </w:tc>
        <w:tc>
          <w:tcPr>
            <w:tcW w:w="1842" w:type="dxa"/>
          </w:tcPr>
          <w:p w:rsidR="00966321" w:rsidRPr="00966321" w:rsidRDefault="00966321" w:rsidP="00966321">
            <w:pPr>
              <w:jc w:val="center"/>
              <w:rPr>
                <w:b/>
              </w:rPr>
            </w:pPr>
            <w:r w:rsidRPr="00966321">
              <w:rPr>
                <w:rFonts w:cstheme="minorHAnsi"/>
                <w:b/>
              </w:rPr>
              <w:t>µ [%]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966321" w:rsidRPr="00966321" w:rsidRDefault="00966321" w:rsidP="00966321">
            <w:pPr>
              <w:jc w:val="center"/>
              <w:rPr>
                <w:b/>
              </w:rPr>
            </w:pPr>
            <w:r w:rsidRPr="00966321">
              <w:rPr>
                <w:rFonts w:cstheme="minorHAnsi"/>
                <w:b/>
              </w:rPr>
              <w:t>σ [%]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966321" w:rsidRPr="00966321" w:rsidRDefault="00966321" w:rsidP="00966321">
            <w:pPr>
              <w:jc w:val="center"/>
              <w:rPr>
                <w:b/>
              </w:rPr>
            </w:pPr>
            <w:r w:rsidRPr="00966321">
              <w:rPr>
                <w:rFonts w:cstheme="minorHAnsi"/>
                <w:b/>
              </w:rPr>
              <w:t>µ [%]</w:t>
            </w:r>
          </w:p>
        </w:tc>
        <w:tc>
          <w:tcPr>
            <w:tcW w:w="1843" w:type="dxa"/>
          </w:tcPr>
          <w:p w:rsidR="00966321" w:rsidRPr="00966321" w:rsidRDefault="00966321" w:rsidP="00966321">
            <w:pPr>
              <w:jc w:val="center"/>
              <w:rPr>
                <w:b/>
              </w:rPr>
            </w:pPr>
            <w:r w:rsidRPr="00966321">
              <w:rPr>
                <w:rFonts w:cstheme="minorHAnsi"/>
                <w:b/>
              </w:rPr>
              <w:t>σ [%]</w:t>
            </w:r>
          </w:p>
        </w:tc>
      </w:tr>
      <w:tr w:rsidR="008C3BA0" w:rsidTr="00966321">
        <w:tc>
          <w:tcPr>
            <w:tcW w:w="1842" w:type="dxa"/>
          </w:tcPr>
          <w:p w:rsidR="008C3BA0" w:rsidRDefault="00966321">
            <w:r>
              <w:t>Prostokątne</w:t>
            </w:r>
          </w:p>
        </w:tc>
        <w:tc>
          <w:tcPr>
            <w:tcW w:w="1842" w:type="dxa"/>
          </w:tcPr>
          <w:p w:rsidR="008C3BA0" w:rsidRDefault="00966321">
            <w:r>
              <w:t>0.5059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8C3BA0" w:rsidRDefault="00966321">
            <w:r>
              <w:t>0.1226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8C3BA0" w:rsidRDefault="00966321">
            <w:r>
              <w:t>46.7890</w:t>
            </w:r>
          </w:p>
        </w:tc>
        <w:tc>
          <w:tcPr>
            <w:tcW w:w="1843" w:type="dxa"/>
          </w:tcPr>
          <w:p w:rsidR="008C3BA0" w:rsidRDefault="00966321">
            <w:r>
              <w:t>0.0278</w:t>
            </w:r>
          </w:p>
        </w:tc>
      </w:tr>
      <w:tr w:rsidR="008C3BA0" w:rsidTr="00966321">
        <w:tc>
          <w:tcPr>
            <w:tcW w:w="1842" w:type="dxa"/>
          </w:tcPr>
          <w:p w:rsidR="008C3BA0" w:rsidRDefault="00966321">
            <w:proofErr w:type="spellStart"/>
            <w:r>
              <w:t>Hamming</w:t>
            </w:r>
            <w:proofErr w:type="spellEnd"/>
          </w:p>
        </w:tc>
        <w:tc>
          <w:tcPr>
            <w:tcW w:w="1842" w:type="dxa"/>
          </w:tcPr>
          <w:p w:rsidR="008C3BA0" w:rsidRDefault="00966321">
            <w:r>
              <w:t>0.1570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8C3BA0" w:rsidRDefault="00966321">
            <w:r>
              <w:t>0.0380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8C3BA0" w:rsidRDefault="00966321">
            <w:r>
              <w:t>47.3098</w:t>
            </w:r>
          </w:p>
        </w:tc>
        <w:tc>
          <w:tcPr>
            <w:tcW w:w="1843" w:type="dxa"/>
          </w:tcPr>
          <w:p w:rsidR="008C3BA0" w:rsidRDefault="00966321">
            <w:r>
              <w:t>0.0108</w:t>
            </w:r>
          </w:p>
        </w:tc>
      </w:tr>
      <w:tr w:rsidR="008C3BA0" w:rsidTr="00966321">
        <w:tc>
          <w:tcPr>
            <w:tcW w:w="1842" w:type="dxa"/>
          </w:tcPr>
          <w:p w:rsidR="008C3BA0" w:rsidRDefault="00966321">
            <w:r>
              <w:t>Hanning</w:t>
            </w:r>
          </w:p>
        </w:tc>
        <w:tc>
          <w:tcPr>
            <w:tcW w:w="1842" w:type="dxa"/>
          </w:tcPr>
          <w:p w:rsidR="008C3BA0" w:rsidRDefault="00966321">
            <w:r>
              <w:t>0.1387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8C3BA0" w:rsidRDefault="00966321">
            <w:r>
              <w:t>0.0588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8C3BA0" w:rsidRDefault="00966321">
            <w:r>
              <w:t>47.2760</w:t>
            </w:r>
          </w:p>
        </w:tc>
        <w:tc>
          <w:tcPr>
            <w:tcW w:w="1843" w:type="dxa"/>
          </w:tcPr>
          <w:p w:rsidR="008C3BA0" w:rsidRDefault="00966321">
            <w:r>
              <w:t>0.0109</w:t>
            </w:r>
          </w:p>
        </w:tc>
      </w:tr>
      <w:tr w:rsidR="008C3BA0" w:rsidTr="00966321">
        <w:tc>
          <w:tcPr>
            <w:tcW w:w="1842" w:type="dxa"/>
          </w:tcPr>
          <w:p w:rsidR="008C3BA0" w:rsidRDefault="00966321">
            <w:proofErr w:type="spellStart"/>
            <w:r>
              <w:t>Blackman</w:t>
            </w:r>
            <w:proofErr w:type="spellEnd"/>
          </w:p>
        </w:tc>
        <w:tc>
          <w:tcPr>
            <w:tcW w:w="1842" w:type="dxa"/>
          </w:tcPr>
          <w:p w:rsidR="008C3BA0" w:rsidRDefault="00966321">
            <w:r>
              <w:t>0.1373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8C3BA0" w:rsidRDefault="00966321">
            <w:r>
              <w:t>0.0167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8C3BA0" w:rsidRDefault="00966321">
            <w:r>
              <w:t>47.2182</w:t>
            </w:r>
          </w:p>
        </w:tc>
        <w:tc>
          <w:tcPr>
            <w:tcW w:w="1843" w:type="dxa"/>
          </w:tcPr>
          <w:p w:rsidR="008C3BA0" w:rsidRDefault="00966321">
            <w:r>
              <w:t>0.0145</w:t>
            </w:r>
          </w:p>
        </w:tc>
      </w:tr>
    </w:tbl>
    <w:p w:rsidR="008C3BA0" w:rsidRDefault="008C3BA0"/>
    <w:p w:rsidR="00966321" w:rsidRDefault="00966321">
      <w:r>
        <w:t xml:space="preserve">Jak widać, najlepszą dokładność i powtarzalność wyników daje zastosowanie okna </w:t>
      </w:r>
      <w:proofErr w:type="spellStart"/>
      <w:r>
        <w:t>Blackmana</w:t>
      </w:r>
      <w:proofErr w:type="spellEnd"/>
      <w:r>
        <w:t>.</w:t>
      </w:r>
    </w:p>
    <w:p w:rsidR="00966321" w:rsidRDefault="00966321"/>
    <w:p w:rsidR="00966321" w:rsidRDefault="00966321" w:rsidP="00CE5DF3">
      <w:pPr>
        <w:pStyle w:val="Nagwek2"/>
      </w:pPr>
      <w:r>
        <w:t>Wpływ uśredniania na dokładność pomiaru</w:t>
      </w:r>
    </w:p>
    <w:p w:rsidR="00966321" w:rsidRDefault="00966321">
      <w:r>
        <w:t>Kolejnym testem było sprawdzenie wpływu uśredniania kolejnych FFT na końcowy wynik. Przeprowadzono serię 100 pomiarów dla każdej z wybranych wartości uśredniania (1, 2, 4, 8, 16, 32, 64). Wyniki przedstawiono na wykresach.</w:t>
      </w:r>
    </w:p>
    <w:p w:rsidR="00966321" w:rsidRDefault="00966321">
      <w:r>
        <w:t>Dla sygnału sinusoidalnego:</w:t>
      </w:r>
    </w:p>
    <w:p w:rsidR="00966321" w:rsidRDefault="00966321">
      <w:r>
        <w:rPr>
          <w:noProof/>
          <w:lang w:eastAsia="pl-PL"/>
        </w:rPr>
        <w:drawing>
          <wp:inline distT="0" distB="0" distL="0" distR="0">
            <wp:extent cx="5342858" cy="4000000"/>
            <wp:effectExtent l="19050" t="0" r="0" b="0"/>
            <wp:docPr id="6" name="Obraz 5" descr="AveragingSine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ingSineMea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21" w:rsidRDefault="0079550E">
      <w:r>
        <w:rPr>
          <w:noProof/>
          <w:lang w:eastAsia="pl-PL"/>
        </w:rPr>
        <w:lastRenderedPageBreak/>
        <w:drawing>
          <wp:inline distT="0" distB="0" distL="0" distR="0">
            <wp:extent cx="5342858" cy="4000000"/>
            <wp:effectExtent l="19050" t="0" r="0" b="0"/>
            <wp:docPr id="7" name="Obraz 6" descr="AveragingSine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ingSineSt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0E" w:rsidRDefault="0079550E"/>
    <w:p w:rsidR="0079550E" w:rsidRDefault="0079550E">
      <w:r>
        <w:t>Dla sygnału prostokątnego:</w:t>
      </w:r>
    </w:p>
    <w:p w:rsidR="0079550E" w:rsidRDefault="0079550E">
      <w:r>
        <w:rPr>
          <w:noProof/>
          <w:lang w:eastAsia="pl-PL"/>
        </w:rPr>
        <w:drawing>
          <wp:inline distT="0" distB="0" distL="0" distR="0">
            <wp:extent cx="5342858" cy="4000000"/>
            <wp:effectExtent l="19050" t="0" r="0" b="0"/>
            <wp:docPr id="8" name="Obraz 7" descr="AveragingRect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ingRectMea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0E" w:rsidRDefault="0079550E">
      <w:r>
        <w:rPr>
          <w:noProof/>
          <w:lang w:eastAsia="pl-PL"/>
        </w:rPr>
        <w:lastRenderedPageBreak/>
        <w:drawing>
          <wp:inline distT="0" distB="0" distL="0" distR="0">
            <wp:extent cx="5342858" cy="4000000"/>
            <wp:effectExtent l="19050" t="0" r="0" b="0"/>
            <wp:docPr id="9" name="Obraz 8" descr="AveragingRect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ingRectSt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0E" w:rsidRDefault="0079550E"/>
    <w:p w:rsidR="0079550E" w:rsidRDefault="0079550E">
      <w:r>
        <w:t>Choć wyniki dla sygnału prostokątnego są dość zaskakujące, to wyniki dla sinusoidy są zgodne z przewidywaniami.</w:t>
      </w:r>
    </w:p>
    <w:p w:rsidR="0079550E" w:rsidRDefault="0079550E">
      <w:r>
        <w:t>Dla sinusoidy wartość średnia dąży do wartości THD = 0.04%. Może to wynikać z dwóch przyczyn:</w:t>
      </w:r>
    </w:p>
    <w:p w:rsidR="0079550E" w:rsidRDefault="0079550E" w:rsidP="0079550E">
      <w:pPr>
        <w:pStyle w:val="Akapitzlist"/>
        <w:numPr>
          <w:ilvl w:val="0"/>
          <w:numId w:val="1"/>
        </w:numPr>
      </w:pPr>
      <w:r>
        <w:t>przenoszenie szumów cyfrowych na sygnał analogowy w układach wejściowych,</w:t>
      </w:r>
    </w:p>
    <w:p w:rsidR="0079550E" w:rsidRDefault="0079550E" w:rsidP="0079550E">
      <w:pPr>
        <w:pStyle w:val="Akapitzlist"/>
        <w:numPr>
          <w:ilvl w:val="0"/>
          <w:numId w:val="1"/>
        </w:numPr>
      </w:pPr>
      <w:r>
        <w:t>fakt, że do testów użyto samodzielnie zbudowanego generatora opartego o przetwornik C/A mikrokontrolera STM32.</w:t>
      </w:r>
    </w:p>
    <w:p w:rsidR="0079550E" w:rsidRDefault="0079550E" w:rsidP="0079550E"/>
    <w:p w:rsidR="0079550E" w:rsidRDefault="0079550E" w:rsidP="00CE5DF3">
      <w:pPr>
        <w:pStyle w:val="Nagwek2"/>
      </w:pPr>
      <w:r>
        <w:t>Zgodność z IEC 61000-4-30:2015</w:t>
      </w:r>
    </w:p>
    <w:p w:rsidR="0079550E" w:rsidRDefault="0079550E" w:rsidP="0079550E">
      <w:r>
        <w:t>Podcza</w:t>
      </w:r>
      <w:r w:rsidR="00CE5DF3">
        <w:t>s prac nad urządzeniem kierowałem</w:t>
      </w:r>
      <w:r>
        <w:t xml:space="preserve"> się normą IEC 61000-4-30:2015. Niestety, nie udało się spełnić wszystkich jej wymagań:</w:t>
      </w:r>
    </w:p>
    <w:p w:rsidR="0079550E" w:rsidRDefault="0079550E" w:rsidP="00291F8E">
      <w:pPr>
        <w:pStyle w:val="Akapitzlist"/>
        <w:numPr>
          <w:ilvl w:val="0"/>
          <w:numId w:val="2"/>
        </w:numPr>
      </w:pPr>
      <w:r>
        <w:t>prawidłowa definicja THD – SPEŁNIONE</w:t>
      </w:r>
    </w:p>
    <w:p w:rsidR="0079550E" w:rsidRDefault="0079550E" w:rsidP="00291F8E">
      <w:pPr>
        <w:pStyle w:val="Akapitzlist"/>
        <w:numPr>
          <w:ilvl w:val="0"/>
          <w:numId w:val="2"/>
        </w:numPr>
      </w:pPr>
      <w:r>
        <w:t>długość pojedynczego okna pomiarowego – SPEŁNIONE</w:t>
      </w:r>
    </w:p>
    <w:p w:rsidR="0079550E" w:rsidRDefault="0079550E" w:rsidP="00291F8E">
      <w:pPr>
        <w:pStyle w:val="Akapitzlist"/>
        <w:numPr>
          <w:ilvl w:val="0"/>
          <w:numId w:val="2"/>
        </w:numPr>
      </w:pPr>
      <w:r>
        <w:t>funkcja okna ważącego – NIESPEŁNIONE</w:t>
      </w:r>
    </w:p>
    <w:p w:rsidR="0079550E" w:rsidRDefault="0079550E" w:rsidP="00291F8E">
      <w:pPr>
        <w:pStyle w:val="Akapitzlist"/>
        <w:numPr>
          <w:ilvl w:val="0"/>
          <w:numId w:val="2"/>
        </w:numPr>
      </w:pPr>
      <w:r>
        <w:t>pomiar częstotliwości – SPEŁNIONE</w:t>
      </w:r>
    </w:p>
    <w:p w:rsidR="0079550E" w:rsidRDefault="00291F8E" w:rsidP="00291F8E">
      <w:pPr>
        <w:pStyle w:val="Akapitzlist"/>
        <w:numPr>
          <w:ilvl w:val="0"/>
          <w:numId w:val="2"/>
        </w:numPr>
      </w:pPr>
      <w:r>
        <w:t>wartość napięcia wejściowego – NIESPEŁNIONE</w:t>
      </w:r>
    </w:p>
    <w:p w:rsidR="00291F8E" w:rsidRDefault="00291F8E" w:rsidP="00291F8E">
      <w:pPr>
        <w:pStyle w:val="Akapitzlist"/>
        <w:numPr>
          <w:ilvl w:val="0"/>
          <w:numId w:val="2"/>
        </w:numPr>
      </w:pPr>
      <w:r>
        <w:t xml:space="preserve">filtr </w:t>
      </w:r>
      <w:proofErr w:type="spellStart"/>
      <w:r>
        <w:t>antyaliasingowy</w:t>
      </w:r>
      <w:proofErr w:type="spellEnd"/>
      <w:r>
        <w:t xml:space="preserve"> – SPEŁNIONE</w:t>
      </w:r>
    </w:p>
    <w:p w:rsidR="00291F8E" w:rsidRDefault="00291F8E" w:rsidP="00291F8E">
      <w:pPr>
        <w:pStyle w:val="Akapitzlist"/>
        <w:numPr>
          <w:ilvl w:val="0"/>
          <w:numId w:val="2"/>
        </w:numPr>
      </w:pPr>
      <w:r>
        <w:t>dokładność pomiaru – SPEŁNIONE</w:t>
      </w:r>
    </w:p>
    <w:p w:rsidR="00291F8E" w:rsidRDefault="00291F8E" w:rsidP="00291F8E">
      <w:pPr>
        <w:pStyle w:val="Akapitzlist"/>
        <w:numPr>
          <w:ilvl w:val="0"/>
          <w:numId w:val="2"/>
        </w:numPr>
      </w:pPr>
      <w:r>
        <w:t>długość pomiaru – NIESPEŁNIONE</w:t>
      </w:r>
    </w:p>
    <w:p w:rsidR="00291F8E" w:rsidRDefault="00291F8E" w:rsidP="00CE5DF3">
      <w:pPr>
        <w:pStyle w:val="Nagwek2"/>
      </w:pPr>
      <w:r>
        <w:lastRenderedPageBreak/>
        <w:t>Podsumowanie</w:t>
      </w:r>
    </w:p>
    <w:p w:rsidR="00291F8E" w:rsidRDefault="00291F8E" w:rsidP="00291F8E">
      <w:r>
        <w:t>Podczas prac zrealizowano implementację miernika THD o dość zadowalającej dokładności. Nie udało się jednak uniknąć kilku problemów.</w:t>
      </w:r>
    </w:p>
    <w:p w:rsidR="00291F8E" w:rsidRDefault="00291F8E" w:rsidP="00291F8E">
      <w:r>
        <w:t>Głównym z nich jest fakt, że pomiar powinien być wykonywany przez 10 minut i w tym czasie sygnał powinien być próbkowany ciągle, bez żadnych przerw.</w:t>
      </w:r>
      <w:r w:rsidR="002D461C">
        <w:t xml:space="preserve"> Biorąc pod uwagę czas obliczenia 2048-punktowego, zmiennoprzecinkowego FFT na wybranym układzie (ok. 5 sekund) implementacja tego założenia jest niemożliwa bez użycia koprocesora na układzie FPGA, co by znacząco zwiększyło cenę i poziom skomplikowania. </w:t>
      </w:r>
      <w:r w:rsidR="002D461C">
        <w:br/>
        <w:t>Nawet gdyby próbkować sygnał przez 10 minut i zapisywać próbki na karcie SD</w:t>
      </w:r>
      <w:r w:rsidR="00C71210">
        <w:t>,</w:t>
      </w:r>
      <w:r w:rsidR="002D461C">
        <w:t xml:space="preserve"> to późniejsze przeliczenie trwałoby ok. 4 godzin. Można by ten czas zmniejszyć przez użycie mikrokontrolera z FPU lub arytmetyki stałoprzecinkowej, ale wciąż zejście poniżej godziny będzie prawdopodobnie sporym wyzwaniem.</w:t>
      </w:r>
    </w:p>
    <w:p w:rsidR="002D461C" w:rsidRDefault="002D461C" w:rsidP="00291F8E">
      <w:r>
        <w:t>Drugą kwestią jest wartość sygnału wejściowego. W aktualnej implementacji napięcie musi się zawierać w przedziale 1.0 – 3.3V. W związku z tym badania można prowadzić jedynie na sygnałach z generatora funkcyjnego.</w:t>
      </w:r>
      <w:r>
        <w:br/>
        <w:t>Umożliwienie przyłączenia do sieci elektroenergetycznej wymagałoby znacznego powiększenia części analogowej układu oraz dodatkowych testów. Kwestia tego czy jest jeszcze na to czas.</w:t>
      </w:r>
    </w:p>
    <w:p w:rsidR="002D461C" w:rsidRDefault="002D461C" w:rsidP="00291F8E">
      <w:r>
        <w:t xml:space="preserve">Gdybyśmy chcieli próbować jeszcze bardziej poprawić dokładność to można </w:t>
      </w:r>
      <w:r w:rsidR="00852254">
        <w:t>przerobić PCB żeby było wykonane bardziej „w zgodzie ze sztuką”, tzn. prawidłowo odizolować sygnały cyfrowe od analogowych. Aktualna wersja była robiona na szybko, z myślą o jedynie uproszczeniu testów samego softu.</w:t>
      </w:r>
    </w:p>
    <w:p w:rsidR="00852254" w:rsidRDefault="00852254" w:rsidP="00291F8E">
      <w:r>
        <w:t>Dodatkowo urządzenie nie posiada na razie interfejsu użytkownika – potrafi jedynie wykonać zaprogramowaną z góry liczbę pomiarów i wyświetlić wyniki w terminalu przez port szeregowy. Mam jednak już praktycznie gotowe biblioteki do wyświetlacza i panelu dotykowego, więc integracja ich nie powinna zająć dłużej niż 2-3 dni.</w:t>
      </w:r>
    </w:p>
    <w:sectPr w:rsidR="00852254" w:rsidSect="00A01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92F"/>
    <w:multiLevelType w:val="hybridMultilevel"/>
    <w:tmpl w:val="0BCE40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B7149"/>
    <w:multiLevelType w:val="hybridMultilevel"/>
    <w:tmpl w:val="7CD2F0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527F"/>
    <w:rsid w:val="00291F8E"/>
    <w:rsid w:val="002D461C"/>
    <w:rsid w:val="004D2799"/>
    <w:rsid w:val="0079550E"/>
    <w:rsid w:val="00823394"/>
    <w:rsid w:val="00852254"/>
    <w:rsid w:val="008C3BA0"/>
    <w:rsid w:val="00966321"/>
    <w:rsid w:val="00A01A0E"/>
    <w:rsid w:val="00BB39B1"/>
    <w:rsid w:val="00C71210"/>
    <w:rsid w:val="00CE5DF3"/>
    <w:rsid w:val="00D5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1A0E"/>
  </w:style>
  <w:style w:type="paragraph" w:styleId="Nagwek1">
    <w:name w:val="heading 1"/>
    <w:basedOn w:val="Normalny"/>
    <w:next w:val="Normalny"/>
    <w:link w:val="Nagwek1Znak"/>
    <w:uiPriority w:val="9"/>
    <w:qFormat/>
    <w:rsid w:val="00CE5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5D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27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D27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27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D27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B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39B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C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79550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E5D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CE5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821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dcterms:created xsi:type="dcterms:W3CDTF">2018-05-06T18:03:00Z</dcterms:created>
  <dcterms:modified xsi:type="dcterms:W3CDTF">2018-05-06T21:11:00Z</dcterms:modified>
</cp:coreProperties>
</file>