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>
          <w:rFonts w:ascii="Exo" w:cs="Exo" w:eastAsia="Exo" w:hAnsi="Exo"/>
          <w:b w:val="1"/>
          <w:sz w:val="34"/>
          <w:szCs w:val="34"/>
        </w:rPr>
      </w:pPr>
      <w:r w:rsidDel="00000000" w:rsidR="00000000" w:rsidRPr="00000000">
        <w:rPr>
          <w:rFonts w:ascii="Exo" w:cs="Exo" w:eastAsia="Exo" w:hAnsi="Exo"/>
          <w:b w:val="1"/>
          <w:sz w:val="34"/>
          <w:szCs w:val="34"/>
          <w:rtl w:val="0"/>
        </w:rPr>
        <w:t xml:space="preserve">Date</w:t>
        <w:tab/>
      </w:r>
      <w:r w:rsidDel="00000000" w:rsidR="00000000" w:rsidRPr="00000000">
        <w:rPr>
          <w:rFonts w:ascii="Exo" w:cs="Exo" w:eastAsia="Exo" w:hAnsi="Exo"/>
          <w:b w:val="1"/>
          <w:sz w:val="34"/>
          <w:szCs w:val="34"/>
          <w:rtl w:val="0"/>
        </w:rPr>
        <w:tab/>
        <w:tab/>
        <w:tab/>
        <w:tab/>
        <w:t xml:space="preserve">ECC Reference</w:t>
      </w:r>
    </w:p>
    <w:p w:rsidR="00000000" w:rsidDel="00000000" w:rsidP="00000000" w:rsidRDefault="00000000" w:rsidRPr="00000000" w14:paraId="00000002">
      <w:pPr>
        <w:ind w:left="-425.19685039370086" w:firstLine="0"/>
        <w:rPr>
          <w:rFonts w:ascii="Exo" w:cs="Exo" w:eastAsia="Exo" w:hAnsi="Exo"/>
          <w:b w:val="1"/>
          <w:color w:val="ff9900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color w:val="ff9900"/>
          <w:sz w:val="28"/>
          <w:szCs w:val="28"/>
          <w:rtl w:val="0"/>
        </w:rPr>
        <w:t xml:space="preserve">DDMMMYYYY</w:t>
        <w:tab/>
        <w:tab/>
        <w:tab/>
        <w:tab/>
        <w:t xml:space="preserve">GA??</w:t>
        <w:br w:type="textWrapping"/>
      </w:r>
    </w:p>
    <w:p w:rsidR="00000000" w:rsidDel="00000000" w:rsidP="00000000" w:rsidRDefault="00000000" w:rsidRPr="00000000" w14:paraId="00000003">
      <w:pPr>
        <w:spacing w:after="200" w:lineRule="auto"/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This document is a</w:t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 risk assessment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associated with the “</w:t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{Name}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” governance action that will impact the state of the Cardano network and its associated ecosystem.</w:t>
      </w:r>
    </w:p>
    <w:p w:rsidR="00000000" w:rsidDel="00000000" w:rsidP="00000000" w:rsidRDefault="00000000" w:rsidRPr="00000000" w14:paraId="00000005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The risk assessment is from the perspective of the Eastern Cardano Council (ECC), fulfilling its role as a member of the Interim Constitution Committee.</w:t>
      </w:r>
    </w:p>
    <w:p w:rsidR="00000000" w:rsidDel="00000000" w:rsidP="00000000" w:rsidRDefault="00000000" w:rsidRPr="00000000" w14:paraId="00000007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Management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>
          <w:rFonts w:ascii="Exo" w:cs="Exo" w:eastAsia="Exo" w:hAnsi="Exo"/>
          <w:b w:val="1"/>
          <w:color w:val="ff9900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See the “ECC Risk Management Framework for Cardano Governance”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Risk Register</w:t>
      </w:r>
    </w:p>
    <w:p w:rsidR="00000000" w:rsidDel="00000000" w:rsidP="00000000" w:rsidRDefault="00000000" w:rsidRPr="00000000" w14:paraId="0000000D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See the </w:t>
      </w:r>
      <w:hyperlink r:id="rId6">
        <w:r w:rsidDel="00000000" w:rsidR="00000000" w:rsidRPr="00000000">
          <w:rPr>
            <w:rFonts w:ascii="Exo" w:cs="Exo" w:eastAsia="Exo" w:hAnsi="Exo"/>
            <w:color w:val="1155cc"/>
            <w:sz w:val="28"/>
            <w:szCs w:val="28"/>
            <w:u w:val="single"/>
            <w:rtl w:val="0"/>
          </w:rPr>
          <w:t xml:space="preserve">ECC Risk Register for Cardano Governance Sheet</w:t>
        </w:r>
      </w:hyperlink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for a list of previously identified  risks.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Risks are identified and rated using the following matrix based on </w:t>
      </w:r>
      <w:r w:rsidDel="00000000" w:rsidR="00000000" w:rsidRPr="00000000">
        <w:rPr>
          <w:rFonts w:ascii="Exo" w:cs="Exo" w:eastAsia="Exo" w:hAnsi="Exo"/>
          <w:i w:val="1"/>
          <w:sz w:val="28"/>
          <w:szCs w:val="28"/>
          <w:rtl w:val="0"/>
        </w:rPr>
        <w:t xml:space="preserve">Likelihood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Exo" w:cs="Exo" w:eastAsia="Exo" w:hAnsi="Exo"/>
          <w:i w:val="1"/>
          <w:sz w:val="28"/>
          <w:szCs w:val="28"/>
          <w:rtl w:val="0"/>
        </w:rPr>
        <w:t xml:space="preserve">Consequence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, resulting in a </w:t>
      </w:r>
      <w:r w:rsidDel="00000000" w:rsidR="00000000" w:rsidRPr="00000000">
        <w:rPr>
          <w:rFonts w:ascii="Exo" w:cs="Exo" w:eastAsia="Exo" w:hAnsi="Exo"/>
          <w:i w:val="1"/>
          <w:sz w:val="28"/>
          <w:szCs w:val="28"/>
          <w:rtl w:val="0"/>
        </w:rPr>
        <w:t xml:space="preserve">Risk Rating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</w:rPr>
        <w:drawing>
          <wp:inline distB="114300" distT="114300" distL="114300" distR="114300">
            <wp:extent cx="5580120" cy="2275265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9092"/>
                    <a:stretch>
                      <a:fillRect/>
                    </a:stretch>
                  </pic:blipFill>
                  <pic:spPr>
                    <a:xfrm>
                      <a:off x="0" y="0"/>
                      <a:ext cx="5580120" cy="2275265"/>
                    </a:xfrm>
                    <a:prstGeom prst="rect"/>
                    <a:ln w="254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As a guiding principle the ECC will vote yes on governance actions that impact the Cardano ecosystem as constitutional, that contain risks that 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Rated as </w:t>
      </w:r>
      <w:r w:rsidDel="00000000" w:rsidR="00000000" w:rsidRPr="00000000">
        <w:rPr>
          <w:rFonts w:ascii="Exo" w:cs="Exo" w:eastAsia="Exo" w:hAnsi="Exo"/>
          <w:b w:val="1"/>
          <w:color w:val="fbac18"/>
          <w:sz w:val="28"/>
          <w:szCs w:val="28"/>
          <w:rtl w:val="0"/>
        </w:rPr>
        <w:t xml:space="preserve">“Medium”</w:t>
      </w:r>
      <w:r w:rsidDel="00000000" w:rsidR="00000000" w:rsidRPr="00000000">
        <w:rPr>
          <w:rFonts w:ascii="Exo" w:cs="Exo" w:eastAsia="Exo" w:hAnsi="Exo"/>
          <w:b w:val="1"/>
          <w:color w:val="00ad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Exo" w:cs="Exo" w:eastAsia="Exo" w:hAnsi="Exo"/>
          <w:b w:val="1"/>
          <w:color w:val="00adef"/>
          <w:sz w:val="28"/>
          <w:szCs w:val="28"/>
          <w:rtl w:val="0"/>
        </w:rPr>
        <w:t xml:space="preserve"> “Low”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Rated as </w:t>
      </w:r>
      <w:r w:rsidDel="00000000" w:rsidR="00000000" w:rsidRPr="00000000">
        <w:rPr>
          <w:rFonts w:ascii="Exo" w:cs="Exo" w:eastAsia="Exo" w:hAnsi="Exo"/>
          <w:b w:val="1"/>
          <w:color w:val="f16920"/>
          <w:sz w:val="28"/>
          <w:szCs w:val="28"/>
          <w:rtl w:val="0"/>
        </w:rPr>
        <w:t xml:space="preserve">“High”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and have a </w:t>
      </w: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contingency plan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to deal with the associated risk should it arise.</w:t>
      </w:r>
    </w:p>
    <w:p w:rsidR="00000000" w:rsidDel="00000000" w:rsidP="00000000" w:rsidRDefault="00000000" w:rsidRPr="00000000" w14:paraId="00000014">
      <w:pPr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firstLine="0"/>
        <w:rPr>
          <w:rFonts w:ascii="Exo" w:cs="Exo" w:eastAsia="Exo" w:hAnsi="Exo"/>
          <w:sz w:val="30"/>
          <w:szCs w:val="30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Key Risks Relating to this Governance Action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260"/>
        <w:gridCol w:w="1815"/>
        <w:gridCol w:w="1320"/>
        <w:gridCol w:w="1815"/>
        <w:tblGridChange w:id="0">
          <w:tblGrid>
            <w:gridCol w:w="615"/>
            <w:gridCol w:w="4260"/>
            <w:gridCol w:w="1815"/>
            <w:gridCol w:w="1320"/>
            <w:gridCol w:w="181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Likelihood /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Consequence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color w:val="f78b22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Rating</w:t>
              <w:br w:type="textWrapping"/>
            </w:r>
            <w:r w:rsidDel="00000000" w:rsidR="00000000" w:rsidRPr="00000000">
              <w:rPr>
                <w:rFonts w:ascii="Exo" w:cs="Exo" w:eastAsia="Exo" w:hAnsi="Exo"/>
                <w:color w:val="f78b22"/>
                <w:sz w:val="20"/>
                <w:szCs w:val="20"/>
                <w:rtl w:val="0"/>
              </w:rPr>
              <w:t xml:space="preserve">As-Is without 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Treatment</w:t>
              <w:br w:type="textWrapping"/>
            </w:r>
            <w:r w:rsidDel="00000000" w:rsidR="00000000" w:rsidRPr="00000000">
              <w:rPr>
                <w:rFonts w:ascii="Exo" w:cs="Exo" w:eastAsia="Exo" w:hAnsi="Exo"/>
                <w:sz w:val="20"/>
                <w:szCs w:val="20"/>
                <w:rtl w:val="0"/>
              </w:rPr>
              <w:t xml:space="preserve"> Accept, Reduce, Transfer, Avoid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Key Risk Scenarios &amp; Analysis</w:t>
      </w:r>
    </w:p>
    <w:p w:rsidR="00000000" w:rsidDel="00000000" w:rsidP="00000000" w:rsidRDefault="00000000" w:rsidRPr="00000000" w14:paraId="00000025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As part of risk / threat analysis.</w:t>
      </w:r>
    </w:p>
    <w:p w:rsidR="00000000" w:rsidDel="00000000" w:rsidP="00000000" w:rsidRDefault="00000000" w:rsidRPr="00000000" w14:paraId="00000026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See </w:t>
      </w:r>
      <w:r w:rsidDel="00000000" w:rsidR="00000000" w:rsidRPr="00000000">
        <w:rPr>
          <w:rFonts w:ascii="Exo" w:cs="Exo" w:eastAsia="Exo" w:hAnsi="Exo"/>
          <w:i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 section at the end of this document for supporting information.</w:t>
      </w:r>
    </w:p>
    <w:p w:rsidR="00000000" w:rsidDel="00000000" w:rsidP="00000000" w:rsidRDefault="00000000" w:rsidRPr="00000000" w14:paraId="00000027">
      <w:pPr>
        <w:ind w:left="-425.19685039370086" w:firstLine="0"/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-425.19685039370086" w:firstLine="0"/>
        <w:rPr>
          <w:rFonts w:ascii="Exo" w:cs="Exo" w:eastAsia="Exo" w:hAnsi="Exo"/>
          <w:color w:val="f78b22"/>
          <w:sz w:val="32"/>
          <w:szCs w:val="32"/>
        </w:rPr>
      </w:pPr>
      <w:r w:rsidDel="00000000" w:rsidR="00000000" w:rsidRPr="00000000">
        <w:rPr>
          <w:rFonts w:ascii="Exo" w:cs="Exo" w:eastAsia="Exo" w:hAnsi="Exo"/>
          <w:b w:val="1"/>
          <w:color w:val="f78b22"/>
          <w:sz w:val="32"/>
          <w:szCs w:val="32"/>
          <w:rtl w:val="0"/>
        </w:rPr>
        <w:t xml:space="preserve">Risk #1</w:t>
        <w:br w:type="textWrapping"/>
      </w:r>
      <w:r w:rsidDel="00000000" w:rsidR="00000000" w:rsidRPr="00000000">
        <w:rPr>
          <w:rFonts w:ascii="Exo" w:cs="Exo" w:eastAsia="Exo" w:hAnsi="Exo"/>
          <w:color w:val="f78b22"/>
          <w:sz w:val="32"/>
          <w:szCs w:val="32"/>
          <w:rtl w:val="0"/>
        </w:rPr>
        <w:t xml:space="preserve">{Risk Description}</w:t>
      </w:r>
    </w:p>
    <w:p w:rsidR="00000000" w:rsidDel="00000000" w:rsidP="00000000" w:rsidRDefault="00000000" w:rsidRPr="00000000" w14:paraId="00000029">
      <w:pPr>
        <w:ind w:left="-425.19685039370086" w:firstLine="0"/>
        <w:rPr>
          <w:rFonts w:ascii="Exo" w:cs="Exo" w:eastAsia="Exo" w:hAnsi="Exo"/>
          <w:color w:val="f78b22"/>
          <w:sz w:val="32"/>
          <w:szCs w:val="32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Risk Analysis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430"/>
        <w:gridCol w:w="3105"/>
        <w:gridCol w:w="3225"/>
        <w:tblGridChange w:id="0">
          <w:tblGrid>
            <w:gridCol w:w="705"/>
            <w:gridCol w:w="2430"/>
            <w:gridCol w:w="3105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sz w:val="24"/>
                <w:szCs w:val="24"/>
                <w:rtl w:val="0"/>
              </w:rPr>
              <w:t xml:space="preserve">A1.1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-425.19685039370086" w:firstLine="0"/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firstLine="0"/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Risk Controls &amp; Contingency Plans</w:t>
      </w: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How to reduce the risk rating level to ECC acceptable level if treatment is “Reduce”, or Contingency plan if treatment is “Accept”.</w:t>
        <w:br w:type="textWrapping"/>
      </w:r>
    </w:p>
    <w:tbl>
      <w:tblPr>
        <w:tblStyle w:val="Table3"/>
        <w:tblW w:w="940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6450"/>
        <w:gridCol w:w="2175"/>
        <w:tblGridChange w:id="0">
          <w:tblGrid>
            <w:gridCol w:w="780"/>
            <w:gridCol w:w="6450"/>
            <w:gridCol w:w="21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Exo" w:cs="Exo" w:eastAsia="Exo" w:hAnsi="Ex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Controls (if Reducing) or</w:t>
              <w:br w:type="textWrapping"/>
              <w:t xml:space="preserve">Contingency Plan (if Accepting)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b w:val="1"/>
                <w:color w:val="fbac18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b w:val="1"/>
                <w:sz w:val="24"/>
                <w:szCs w:val="24"/>
                <w:rtl w:val="0"/>
              </w:rPr>
              <w:t xml:space="preserve">Risk Rating</w:t>
              <w:br w:type="textWrapping"/>
            </w:r>
            <w:r w:rsidDel="00000000" w:rsidR="00000000" w:rsidRPr="00000000">
              <w:rPr>
                <w:rFonts w:ascii="Exo" w:cs="Exo" w:eastAsia="Exo" w:hAnsi="Exo"/>
                <w:color w:val="fbac18"/>
                <w:sz w:val="20"/>
                <w:szCs w:val="20"/>
                <w:rtl w:val="0"/>
              </w:rPr>
              <w:t xml:space="preserve">With Control or Contingency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9599999999999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Fonts w:ascii="Exo" w:cs="Exo" w:eastAsia="Exo" w:hAnsi="Exo"/>
                <w:sz w:val="24"/>
                <w:szCs w:val="24"/>
                <w:rtl w:val="0"/>
              </w:rPr>
              <w:t xml:space="preserve">C1.1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Exo" w:cs="Exo" w:eastAsia="Exo" w:hAnsi="Ex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25.19685039370086" w:firstLine="0"/>
        <w:rPr>
          <w:rFonts w:ascii="Exo" w:cs="Exo" w:eastAsia="Exo" w:hAnsi="Exo"/>
          <w:b w:val="1"/>
          <w:sz w:val="36"/>
          <w:szCs w:val="36"/>
        </w:rPr>
      </w:pPr>
      <w:r w:rsidDel="00000000" w:rsidR="00000000" w:rsidRPr="00000000">
        <w:rPr>
          <w:rFonts w:ascii="Exo" w:cs="Exo" w:eastAsia="Exo" w:hAnsi="Exo"/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ind w:left="-425.19685039370086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For use with risk assessment.</w:t>
      </w:r>
    </w:p>
    <w:p w:rsidR="00000000" w:rsidDel="00000000" w:rsidP="00000000" w:rsidRDefault="00000000" w:rsidRPr="00000000" w14:paraId="0000003E">
      <w:pPr>
        <w:spacing w:after="200" w:lineRule="auto"/>
        <w:ind w:left="-425.19685039370086" w:firstLine="0"/>
        <w:rPr>
          <w:rFonts w:ascii="Exo" w:cs="Exo" w:eastAsia="Exo" w:hAnsi="Ex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425.19685039370086" w:firstLine="0"/>
        <w:rPr>
          <w:rFonts w:ascii="Exo" w:cs="Exo" w:eastAsia="Exo" w:hAnsi="Ex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>
        <w:rFonts w:ascii="Exo" w:cs="Exo" w:eastAsia="Exo" w:hAnsi="Exo"/>
      </w:rPr>
    </w:pPr>
    <w:r w:rsidDel="00000000" w:rsidR="00000000" w:rsidRPr="00000000">
      <w:rPr>
        <w:rFonts w:ascii="Exo" w:cs="Exo" w:eastAsia="Exo" w:hAnsi="Exo"/>
        <w:b w:val="1"/>
        <w:rtl w:val="0"/>
      </w:rPr>
      <w:t xml:space="preserve">Page </w:t>
    </w:r>
    <w:r w:rsidDel="00000000" w:rsidR="00000000" w:rsidRPr="00000000">
      <w:rPr>
        <w:rFonts w:ascii="Exo" w:cs="Exo" w:eastAsia="Exo" w:hAnsi="Ex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xo" w:cs="Exo" w:eastAsia="Exo" w:hAnsi="Exo"/>
        <w:rtl w:val="0"/>
      </w:rPr>
      <w:t xml:space="preserve"> / </w:t>
    </w:r>
    <w:r w:rsidDel="00000000" w:rsidR="00000000" w:rsidRPr="00000000">
      <w:rPr>
        <w:rFonts w:ascii="Exo" w:cs="Exo" w:eastAsia="Exo" w:hAnsi="Exo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widowControl w:val="0"/>
      <w:tabs>
        <w:tab w:val="right" w:leader="none" w:pos="9630"/>
      </w:tabs>
      <w:spacing w:line="240" w:lineRule="auto"/>
      <w:ind w:left="-425.19685039370086" w:right="-40.8661417322827" w:firstLine="0"/>
      <w:rPr>
        <w:rFonts w:ascii="Exo" w:cs="Exo" w:eastAsia="Exo" w:hAnsi="Exo"/>
        <w:b w:val="1"/>
        <w:color w:val="f78b22"/>
        <w:sz w:val="40"/>
        <w:szCs w:val="40"/>
      </w:rPr>
    </w:pPr>
    <w:r w:rsidDel="00000000" w:rsidR="00000000" w:rsidRPr="00000000">
      <w:rPr>
        <w:rFonts w:ascii="Exo" w:cs="Exo" w:eastAsia="Exo" w:hAnsi="Exo"/>
        <w:b w:val="1"/>
        <w:sz w:val="32"/>
        <w:szCs w:val="32"/>
        <w:rtl w:val="0"/>
      </w:rPr>
      <w:t xml:space="preserve">Risk Assessment for Governance Action (GA??)</w:t>
    </w:r>
    <w:r w:rsidDel="00000000" w:rsidR="00000000" w:rsidRPr="00000000">
      <w:rPr>
        <w:rFonts w:ascii="Exo" w:cs="Exo" w:eastAsia="Exo" w:hAnsi="Exo"/>
        <w:b w:val="1"/>
        <w:sz w:val="48"/>
        <w:szCs w:val="48"/>
        <w:rtl w:val="0"/>
      </w:rPr>
      <w:br w:type="textWrapping"/>
    </w:r>
    <w:r w:rsidDel="00000000" w:rsidR="00000000" w:rsidRPr="00000000">
      <w:rPr>
        <w:rFonts w:ascii="Exo" w:cs="Exo" w:eastAsia="Exo" w:hAnsi="Exo"/>
        <w:b w:val="1"/>
        <w:color w:val="f78b22"/>
        <w:sz w:val="40"/>
        <w:szCs w:val="40"/>
        <w:rtl w:val="0"/>
      </w:rPr>
      <w:t xml:space="preserve">{Name}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-123824</wp:posOffset>
          </wp:positionV>
          <wp:extent cx="1218579" cy="50958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8579" cy="5095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widowControl w:val="0"/>
      <w:tabs>
        <w:tab w:val="right" w:leader="none" w:pos="9630"/>
      </w:tabs>
      <w:spacing w:line="240" w:lineRule="auto"/>
      <w:ind w:left="-425.19685039370086" w:right="-40.8661417322827" w:firstLine="0"/>
      <w:rPr>
        <w:rFonts w:ascii="Exo" w:cs="Exo" w:eastAsia="Exo" w:hAnsi="Exo"/>
        <w:sz w:val="20"/>
        <w:szCs w:val="20"/>
      </w:rPr>
    </w:pPr>
    <w:r w:rsidDel="00000000" w:rsidR="00000000" w:rsidRPr="00000000">
      <w:rPr>
        <w:rFonts w:ascii="Exo" w:cs="Exo" w:eastAsia="Exo" w:hAnsi="Exo"/>
        <w:sz w:val="20"/>
        <w:szCs w:val="20"/>
        <w:rtl w:val="0"/>
      </w:rPr>
      <w:t xml:space="preserve">#{Transaction ID}</w:t>
      <w:br w:type="textWrapping"/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oHEkW4-Zu-8L92aINKcXpv1OCl7DvJFr9r9bBzEkYo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