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A9" w:rsidRDefault="00DC53A9" w:rsidP="00DC53A9">
      <w:pPr>
        <w:jc w:val="center"/>
      </w:pPr>
      <w:bookmarkStart w:id="0" w:name="_GoBack"/>
      <w:bookmarkEnd w:id="0"/>
      <w:r>
        <w:t>Metody rozpoznawania obrazów i podstawy uczenia maszynowego</w:t>
      </w:r>
    </w:p>
    <w:p w:rsidR="00DC53A9" w:rsidRDefault="00DC53A9" w:rsidP="00DC53A9">
      <w:pPr>
        <w:jc w:val="center"/>
      </w:pPr>
      <w:r>
        <w:t>Zadanie: PCA i kernel trick</w:t>
      </w:r>
    </w:p>
    <w:p w:rsidR="00DC53A9" w:rsidRDefault="00DC53A9" w:rsidP="00DC53A9">
      <w:pPr>
        <w:jc w:val="center"/>
      </w:pPr>
      <w:r>
        <w:t>Wykonanie: Kamil Kurp</w:t>
      </w:r>
    </w:p>
    <w:p w:rsidR="001B7AD1" w:rsidRDefault="00420083"/>
    <w:p w:rsidR="00372334" w:rsidRDefault="00372334"/>
    <w:p w:rsidR="00372334" w:rsidRDefault="00372334">
      <w:r>
        <w:t>A:</w:t>
      </w:r>
    </w:p>
    <w:p w:rsidR="00372334" w:rsidRDefault="00372334">
      <w:r>
        <w:t>Hiperkula wpisana w sześcian – rzut na 2D</w:t>
      </w:r>
    </w:p>
    <w:p w:rsidR="00372334" w:rsidRDefault="00372334">
      <w:r>
        <w:t>Punkty wewnątrz sześcianu (ale nie kuli) – niebieski</w:t>
      </w:r>
    </w:p>
    <w:p w:rsidR="00372334" w:rsidRDefault="00372334">
      <w:r>
        <w:t>Punkty w kuli – zielony</w:t>
      </w:r>
    </w:p>
    <w:p w:rsidR="00372334" w:rsidRDefault="00372334">
      <w:r>
        <w:t>Narożniki sześcianu – czerwony</w:t>
      </w:r>
    </w:p>
    <w:p w:rsidR="00372334" w:rsidRDefault="004200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5pt;height:299.7pt">
            <v:imagedata r:id="rId5" o:title="Figure_1"/>
          </v:shape>
        </w:pict>
      </w:r>
    </w:p>
    <w:p w:rsidR="00372334" w:rsidRDefault="00372334">
      <w:r>
        <w:br w:type="page"/>
      </w:r>
    </w:p>
    <w:p w:rsidR="00372334" w:rsidRDefault="00372334"/>
    <w:p w:rsidR="00DC53A9" w:rsidRDefault="00420083">
      <w:r>
        <w:pict>
          <v:shape id="_x0000_i1026" type="#_x0000_t75" style="width:349.15pt;height:261.85pt">
            <v:imagedata r:id="rId6" o:title="Figure_2"/>
          </v:shape>
        </w:pict>
      </w:r>
    </w:p>
    <w:p w:rsidR="00372334" w:rsidRDefault="00372334"/>
    <w:p w:rsidR="00372334" w:rsidRDefault="00420083">
      <w:r>
        <w:pict>
          <v:shape id="_x0000_i1027" type="#_x0000_t75" style="width:346.95pt;height:260.2pt">
            <v:imagedata r:id="rId7" o:title="Figure_3"/>
          </v:shape>
        </w:pict>
      </w:r>
    </w:p>
    <w:p w:rsidR="00372334" w:rsidRDefault="00372334"/>
    <w:p w:rsidR="00372334" w:rsidRDefault="00372334"/>
    <w:p w:rsidR="00372334" w:rsidRDefault="00372334"/>
    <w:p w:rsidR="00372334" w:rsidRDefault="00372334"/>
    <w:p w:rsidR="00372334" w:rsidRDefault="00372334"/>
    <w:p w:rsidR="00372334" w:rsidRDefault="00420083">
      <w:r>
        <w:pict>
          <v:shape id="_x0000_i1028" type="#_x0000_t75" style="width:342.75pt;height:256.85pt">
            <v:imagedata r:id="rId8" o:title="Figure_4"/>
          </v:shape>
        </w:pict>
      </w:r>
    </w:p>
    <w:p w:rsidR="00372334" w:rsidRDefault="00372334"/>
    <w:p w:rsidR="00372334" w:rsidRDefault="00420083">
      <w:r>
        <w:pict>
          <v:shape id="_x0000_i1029" type="#_x0000_t75" style="width:362.2pt;height:271.6pt">
            <v:imagedata r:id="rId9" o:title="Figure_5"/>
          </v:shape>
        </w:pict>
      </w:r>
    </w:p>
    <w:p w:rsidR="00177D45" w:rsidRDefault="00177D45"/>
    <w:p w:rsidR="00177D45" w:rsidRDefault="00177D45"/>
    <w:p w:rsidR="00177D45" w:rsidRDefault="00177D45"/>
    <w:p w:rsidR="00177D45" w:rsidRDefault="00177D45"/>
    <w:p w:rsidR="00177D45" w:rsidRDefault="00177D45">
      <w:r>
        <w:lastRenderedPageBreak/>
        <w:t>Wniosek:</w:t>
      </w:r>
    </w:p>
    <w:p w:rsidR="00177D45" w:rsidRDefault="00177D45">
      <w:r>
        <w:t>PCA może posłużyć do rzutowania zbiorów obserwacji na przestrzenie o mniejszej ilości wymiarów. Na rysunkach łatwo zauważyć efekty klątwy wymiarów.</w:t>
      </w:r>
    </w:p>
    <w:p w:rsidR="00177D45" w:rsidRDefault="00177D45"/>
    <w:p w:rsidR="00177D45" w:rsidRDefault="00177D45">
      <w:r>
        <w:t>B:</w:t>
      </w:r>
    </w:p>
    <w:p w:rsidR="00177D45" w:rsidRDefault="00177D45">
      <w:r>
        <w:t>Zbiory wejściowe:</w:t>
      </w:r>
    </w:p>
    <w:p w:rsidR="00177D45" w:rsidRDefault="00420083">
      <w:r>
        <w:pict>
          <v:shape id="_x0000_i1030" type="#_x0000_t75" style="width:244.65pt;height:218.8pt">
            <v:imagedata r:id="rId10" o:title="input"/>
          </v:shape>
        </w:pict>
      </w:r>
    </w:p>
    <w:p w:rsidR="00177D45" w:rsidRDefault="00177D45"/>
    <w:p w:rsidR="00177D45" w:rsidRDefault="00177D45">
      <w:r>
        <w:rPr>
          <w:noProof/>
          <w:lang w:eastAsia="pl-PL"/>
        </w:rPr>
        <w:drawing>
          <wp:inline distT="0" distB="0" distL="0" distR="0">
            <wp:extent cx="3163330" cy="280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74" cy="28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45" w:rsidRDefault="00177D45"/>
    <w:p w:rsidR="00177D45" w:rsidRDefault="00177D45"/>
    <w:p w:rsidR="00177D45" w:rsidRDefault="00177D45"/>
    <w:p w:rsidR="00177D45" w:rsidRDefault="00177D45">
      <w:r>
        <w:lastRenderedPageBreak/>
        <w:t>Zwykłe PCA</w:t>
      </w:r>
      <w:r w:rsidR="00330AE9">
        <w:t xml:space="preserve"> (zbiór 1)</w:t>
      </w:r>
      <w:r>
        <w:t>:</w:t>
      </w:r>
    </w:p>
    <w:p w:rsidR="00177D45" w:rsidRDefault="00420083">
      <w:r>
        <w:pict>
          <v:shape id="_x0000_i1031" type="#_x0000_t75" style="width:389.75pt;height:292.15pt">
            <v:imagedata r:id="rId12" o:title="Figure_1"/>
          </v:shape>
        </w:pict>
      </w:r>
    </w:p>
    <w:p w:rsidR="00330AE9" w:rsidRDefault="00330AE9">
      <w:r>
        <w:t>Wygląd wektorów własnych (zbiór 1):</w:t>
      </w:r>
    </w:p>
    <w:p w:rsidR="00330AE9" w:rsidRDefault="00420083">
      <w:r>
        <w:pict>
          <v:shape id="_x0000_i1032" type="#_x0000_t75" style="width:376.1pt;height:281.9pt">
            <v:imagedata r:id="rId13" o:title="vec1"/>
          </v:shape>
        </w:pict>
      </w:r>
    </w:p>
    <w:p w:rsidR="00330AE9" w:rsidRDefault="00330AE9"/>
    <w:p w:rsidR="00330AE9" w:rsidRDefault="00330AE9"/>
    <w:p w:rsidR="00330AE9" w:rsidRDefault="00330AE9">
      <w:r>
        <w:lastRenderedPageBreak/>
        <w:t>PCA z kerelem cosine (zbiór 1):</w:t>
      </w:r>
    </w:p>
    <w:p w:rsidR="00330AE9" w:rsidRDefault="00330AE9">
      <w:r>
        <w:rPr>
          <w:noProof/>
          <w:lang w:eastAsia="pl-PL"/>
        </w:rPr>
        <w:drawing>
          <wp:inline distT="0" distB="0" distL="0" distR="0">
            <wp:extent cx="4369048" cy="3276305"/>
            <wp:effectExtent l="0" t="0" r="0" b="635"/>
            <wp:docPr id="2" name="Picture 2" descr="C:\Users\kamil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mil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73" cy="327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E9" w:rsidRDefault="00330AE9"/>
    <w:p w:rsidR="00330AE9" w:rsidRDefault="00330AE9">
      <w:r>
        <w:t>PCA z kernelem rb</w:t>
      </w:r>
      <w:r w:rsidR="00632307">
        <w:t>f</w:t>
      </w:r>
      <w:r>
        <w:t xml:space="preserve"> (zbiór 1):</w:t>
      </w:r>
    </w:p>
    <w:p w:rsidR="00330AE9" w:rsidRDefault="00330AE9">
      <w:r>
        <w:rPr>
          <w:noProof/>
          <w:lang w:eastAsia="pl-PL"/>
        </w:rPr>
        <w:drawing>
          <wp:inline distT="0" distB="0" distL="0" distR="0">
            <wp:extent cx="4176584" cy="3131611"/>
            <wp:effectExtent l="0" t="0" r="0" b="0"/>
            <wp:docPr id="3" name="Picture 3" descr="C:\Users\kamil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mil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85" cy="313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E9" w:rsidRDefault="00330AE9"/>
    <w:p w:rsidR="00330AE9" w:rsidRDefault="00330AE9"/>
    <w:p w:rsidR="003D5431" w:rsidRDefault="00420083">
      <w:r>
        <w:lastRenderedPageBreak/>
        <w:pict>
          <v:shape id="_x0000_i1033" type="#_x0000_t75" style="width:353.9pt;height:265.5pt">
            <v:imagedata r:id="rId16" o:title="Figure_5"/>
          </v:shape>
        </w:pict>
      </w:r>
    </w:p>
    <w:p w:rsidR="003D5431" w:rsidRDefault="003D5431"/>
    <w:p w:rsidR="003D5431" w:rsidRDefault="00420083">
      <w:r>
        <w:pict>
          <v:shape id="_x0000_i1034" type="#_x0000_t75" style="width:360.85pt;height:270.5pt">
            <v:imagedata r:id="rId17" o:title="Figure_6"/>
          </v:shape>
        </w:pict>
      </w:r>
    </w:p>
    <w:p w:rsidR="00330AE9" w:rsidRDefault="00330AE9"/>
    <w:p w:rsidR="003D5431" w:rsidRDefault="003D5431"/>
    <w:p w:rsidR="003D5431" w:rsidRDefault="003D5431"/>
    <w:p w:rsidR="003D5431" w:rsidRDefault="00420083">
      <w:r>
        <w:lastRenderedPageBreak/>
        <w:pict>
          <v:shape id="_x0000_i1035" type="#_x0000_t75" style="width:345.55pt;height:259.1pt">
            <v:imagedata r:id="rId18" o:title="Figure_7"/>
          </v:shape>
        </w:pict>
      </w:r>
    </w:p>
    <w:p w:rsidR="003D5431" w:rsidRDefault="003D5431"/>
    <w:p w:rsidR="003D5431" w:rsidRDefault="003D5431" w:rsidP="003D5431">
      <w:r>
        <w:t>Zwykłe PCA (zbiór 2):</w:t>
      </w:r>
    </w:p>
    <w:p w:rsidR="003D5431" w:rsidRDefault="00420083">
      <w:r>
        <w:pict>
          <v:shape id="_x0000_i1036" type="#_x0000_t75" style="width:354.7pt;height:266.05pt">
            <v:imagedata r:id="rId19" o:title="Figure_8"/>
          </v:shape>
        </w:pict>
      </w:r>
    </w:p>
    <w:p w:rsidR="003D5431" w:rsidRDefault="003D5431"/>
    <w:p w:rsidR="003D5431" w:rsidRDefault="003D5431"/>
    <w:p w:rsidR="003D5431" w:rsidRDefault="003D5431"/>
    <w:p w:rsidR="003D5431" w:rsidRDefault="003D5431"/>
    <w:p w:rsidR="003D5431" w:rsidRDefault="003D5431" w:rsidP="003D5431">
      <w:r>
        <w:lastRenderedPageBreak/>
        <w:t>Wygląd wektorów własnych (zbiór 2):</w:t>
      </w:r>
    </w:p>
    <w:p w:rsidR="003D5431" w:rsidRDefault="00420083">
      <w:r>
        <w:pict>
          <v:shape id="_x0000_i1037" type="#_x0000_t75" style="width:300.8pt;height:225.75pt">
            <v:imagedata r:id="rId20" o:title="vec2"/>
          </v:shape>
        </w:pict>
      </w:r>
    </w:p>
    <w:p w:rsidR="003D5431" w:rsidRDefault="003D5431"/>
    <w:p w:rsidR="003D5431" w:rsidRDefault="003D5431" w:rsidP="003D5431">
      <w:r>
        <w:t>PCA z kerelem cosine (zbiór 2):</w:t>
      </w:r>
      <w:r w:rsidR="00420083">
        <w:pict>
          <v:shape id="_x0000_i1038" type="#_x0000_t75" style="width:351.65pt;height:263.8pt">
            <v:imagedata r:id="rId21" o:title="Figure_10"/>
          </v:shape>
        </w:pict>
      </w:r>
      <w:r>
        <w:t>):</w:t>
      </w:r>
    </w:p>
    <w:p w:rsidR="003D5431" w:rsidRDefault="003D5431"/>
    <w:p w:rsidR="003D5431" w:rsidRDefault="003D5431"/>
    <w:p w:rsidR="003D5431" w:rsidRDefault="003D5431"/>
    <w:p w:rsidR="003D5431" w:rsidRDefault="003D5431"/>
    <w:p w:rsidR="003D5431" w:rsidRDefault="003D5431"/>
    <w:p w:rsidR="003D5431" w:rsidRDefault="003D5431" w:rsidP="003D5431">
      <w:r>
        <w:lastRenderedPageBreak/>
        <w:t>PCA z kernelem rb</w:t>
      </w:r>
      <w:r w:rsidR="00632307">
        <w:t>f</w:t>
      </w:r>
      <w:r>
        <w:t xml:space="preserve"> (zbiór 2):</w:t>
      </w:r>
    </w:p>
    <w:p w:rsidR="003D5431" w:rsidRDefault="00420083">
      <w:r>
        <w:pict>
          <v:shape id="_x0000_i1039" type="#_x0000_t75" style="width:344.15pt;height:258.25pt">
            <v:imagedata r:id="rId22" o:title="Figure_11"/>
          </v:shape>
        </w:pict>
      </w:r>
    </w:p>
    <w:p w:rsidR="00632307" w:rsidRDefault="00420083">
      <w:r>
        <w:pict>
          <v:shape id="_x0000_i1040" type="#_x0000_t75" style="width:340pt;height:254.9pt">
            <v:imagedata r:id="rId23" o:title="Figure_12"/>
          </v:shape>
        </w:pict>
      </w:r>
    </w:p>
    <w:p w:rsidR="00632307" w:rsidRDefault="00632307"/>
    <w:p w:rsidR="00632307" w:rsidRDefault="00632307"/>
    <w:p w:rsidR="00632307" w:rsidRDefault="00632307"/>
    <w:p w:rsidR="00632307" w:rsidRDefault="00632307"/>
    <w:p w:rsidR="00632307" w:rsidRDefault="00632307"/>
    <w:p w:rsidR="00632307" w:rsidRDefault="00420083">
      <w:r>
        <w:lastRenderedPageBreak/>
        <w:pict>
          <v:shape id="_x0000_i1041" type="#_x0000_t75" style="width:378.35pt;height:283.85pt">
            <v:imagedata r:id="rId24" o:title="Figure_13"/>
          </v:shape>
        </w:pict>
      </w:r>
    </w:p>
    <w:p w:rsidR="00632307" w:rsidRDefault="00632307"/>
    <w:p w:rsidR="00632307" w:rsidRDefault="00420083">
      <w:r>
        <w:pict>
          <v:shape id="_x0000_i1042" type="#_x0000_t75" style="width:384.75pt;height:288.3pt">
            <v:imagedata r:id="rId25" o:title="Figure_14"/>
          </v:shape>
        </w:pict>
      </w:r>
    </w:p>
    <w:p w:rsidR="00632307" w:rsidRDefault="00632307"/>
    <w:p w:rsidR="00632307" w:rsidRDefault="00632307"/>
    <w:p w:rsidR="00632307" w:rsidRDefault="00632307"/>
    <w:p w:rsidR="00632307" w:rsidRDefault="00632307">
      <w:r>
        <w:lastRenderedPageBreak/>
        <w:t>Wnioski:</w:t>
      </w:r>
    </w:p>
    <w:p w:rsidR="00632307" w:rsidRDefault="00632307">
      <w:r>
        <w:t xml:space="preserve">Wykonanie zwykłego PCA bardzo nieznacznie wpływa na przestrzeń obserwacji.  Zastosowanie kernel tricku z kernelem cosine powoduje umieszczenie punktów przestrzeni na paraboli, na której przejście między klasami punktów jest dosyć płynne. </w:t>
      </w:r>
      <w:r w:rsidR="00B97BC9">
        <w:t>Zmiany współczynnika gamma powodują, że przestrzeń obraca się o 180 stopni i jest odwrócona (lustrzane odbicie).</w:t>
      </w:r>
    </w:p>
    <w:sectPr w:rsidR="00632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5E"/>
    <w:rsid w:val="000A49F6"/>
    <w:rsid w:val="00177D45"/>
    <w:rsid w:val="00330AE9"/>
    <w:rsid w:val="00372334"/>
    <w:rsid w:val="003D5431"/>
    <w:rsid w:val="00420083"/>
    <w:rsid w:val="0047365E"/>
    <w:rsid w:val="00632307"/>
    <w:rsid w:val="00B82FF7"/>
    <w:rsid w:val="00B97BC9"/>
    <w:rsid w:val="00D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cp:lastPrinted>2017-11-10T21:43:00Z</cp:lastPrinted>
  <dcterms:created xsi:type="dcterms:W3CDTF">2017-11-10T20:57:00Z</dcterms:created>
  <dcterms:modified xsi:type="dcterms:W3CDTF">2017-11-10T21:48:00Z</dcterms:modified>
</cp:coreProperties>
</file>