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5B1" w:rsidRDefault="00A675B1" w:rsidP="00A675B1">
      <w:pPr>
        <w:jc w:val="center"/>
        <w:rPr>
          <w:rFonts w:ascii="Arial" w:hAnsi="Arial" w:cs="Arial"/>
          <w:sz w:val="20"/>
          <w:szCs w:val="20"/>
        </w:rPr>
      </w:pPr>
    </w:p>
    <w:p w:rsidR="00A675B1" w:rsidRPr="000F1FBA" w:rsidRDefault="00A675B1" w:rsidP="000F1FBA">
      <w:pPr>
        <w:rPr>
          <w:rFonts w:ascii="Arial" w:hAnsi="Arial" w:cs="Arial"/>
          <w:b/>
          <w:color w:val="FF6600"/>
          <w:sz w:val="48"/>
          <w:szCs w:val="48"/>
        </w:rPr>
      </w:pPr>
      <w:r w:rsidRPr="000F1FBA">
        <w:rPr>
          <w:rFonts w:ascii="Arial" w:hAnsi="Arial" w:cs="Arial"/>
          <w:b/>
          <w:color w:val="FF6600"/>
          <w:sz w:val="48"/>
          <w:szCs w:val="48"/>
        </w:rPr>
        <w:t>Trip Report</w:t>
      </w:r>
    </w:p>
    <w:p w:rsidR="00A675B1" w:rsidRDefault="00A675B1" w:rsidP="000F1FBA">
      <w:pPr>
        <w:rPr>
          <w:rFonts w:ascii="Arial" w:hAnsi="Arial" w:cs="Arial"/>
          <w:sz w:val="20"/>
          <w:szCs w:val="20"/>
        </w:rPr>
      </w:pPr>
    </w:p>
    <w:p w:rsidR="00241B6A" w:rsidRDefault="000F1FBA" w:rsidP="000F1FBA">
      <w:pPr>
        <w:rPr>
          <w:rFonts w:ascii="Arial" w:hAnsi="Arial"/>
          <w:sz w:val="20"/>
        </w:rPr>
      </w:pPr>
      <w:r>
        <w:rPr>
          <w:rFonts w:ascii="Verdana" w:hAnsi="Verdana"/>
          <w:sz w:val="19"/>
          <w:szCs w:val="19"/>
        </w:rPr>
        <w:t xml:space="preserve">In his plea agreement, Hamper admitted that between June 2001 and June 28, 2003, he knowingly participated in illegal interstate purchases and sales involving 53 Blanding's turtles and other wildlife including spotted turtles, wood turtles, and several species of snakes. Hamper's commercial trade in the rare turtles, valued between $30,000 and $70,000, is prohibited by various wildlife laws in </w:t>
      </w:r>
      <w:smartTag w:uri="urn:schemas-microsoft-com:office:smarttags" w:element="State">
        <w:r>
          <w:rPr>
            <w:rFonts w:ascii="Verdana" w:hAnsi="Verdana"/>
            <w:sz w:val="19"/>
            <w:szCs w:val="19"/>
          </w:rPr>
          <w:t>Ohio</w:t>
        </w:r>
      </w:smartTag>
      <w:r>
        <w:rPr>
          <w:rFonts w:ascii="Verdana" w:hAnsi="Verdana"/>
          <w:sz w:val="19"/>
          <w:szCs w:val="19"/>
        </w:rPr>
        <w:t xml:space="preserve">, </w:t>
      </w:r>
      <w:smartTag w:uri="urn:schemas-microsoft-com:office:smarttags" w:element="State">
        <w:r>
          <w:rPr>
            <w:rFonts w:ascii="Verdana" w:hAnsi="Verdana"/>
            <w:sz w:val="19"/>
            <w:szCs w:val="19"/>
          </w:rPr>
          <w:t>Michigan</w:t>
        </w:r>
      </w:smartTag>
      <w:r>
        <w:rPr>
          <w:rFonts w:ascii="Verdana" w:hAnsi="Verdana"/>
          <w:sz w:val="19"/>
          <w:szCs w:val="19"/>
        </w:rPr>
        <w:t xml:space="preserve"> and </w:t>
      </w:r>
      <w:smartTag w:uri="urn:schemas-microsoft-com:office:smarttags" w:element="State">
        <w:smartTag w:uri="urn:schemas-microsoft-com:office:smarttags" w:element="place">
          <w:r>
            <w:rPr>
              <w:rFonts w:ascii="Verdana" w:hAnsi="Verdana"/>
              <w:sz w:val="19"/>
              <w:szCs w:val="19"/>
            </w:rPr>
            <w:t>Indiana</w:t>
          </w:r>
        </w:smartTag>
      </w:smartTag>
      <w:r>
        <w:rPr>
          <w:rFonts w:ascii="Verdana" w:hAnsi="Verdana"/>
          <w:sz w:val="19"/>
          <w:szCs w:val="19"/>
        </w:rPr>
        <w:t>. The interstate trade in wildlife obtained in violation of state laws is a violation of the Lacey Act, the nation's oldest federal wildlife protection law. Maximum penalties for felony violations of the Act include imprisonment of up to five years, and fines of up to $250,000 for each offense.</w:t>
      </w:r>
    </w:p>
    <w:p w:rsidR="001770BA" w:rsidRDefault="001770BA" w:rsidP="001770BA">
      <w:pPr>
        <w:jc w:val="center"/>
        <w:rPr>
          <w:rFonts w:ascii="Arial" w:hAnsi="Arial"/>
          <w:sz w:val="20"/>
        </w:rPr>
      </w:pPr>
    </w:p>
    <w:p w:rsidR="006F0962" w:rsidRDefault="006F0962" w:rsidP="001770BA">
      <w:pPr>
        <w:jc w:val="center"/>
        <w:rPr>
          <w:rFonts w:ascii="Arial" w:hAnsi="Arial"/>
          <w:sz w:val="20"/>
        </w:rPr>
      </w:pPr>
    </w:p>
    <w:p w:rsidR="006F0962" w:rsidRDefault="006F0962" w:rsidP="001770BA">
      <w:pPr>
        <w:jc w:val="center"/>
        <w:rPr>
          <w:rFonts w:ascii="Arial" w:hAnsi="Arial"/>
          <w:sz w:val="20"/>
        </w:rPr>
      </w:pPr>
    </w:p>
    <w:p w:rsidR="006F0962" w:rsidRDefault="006F0962" w:rsidP="001770BA">
      <w:pPr>
        <w:jc w:val="center"/>
        <w:rPr>
          <w:rFonts w:ascii="Arial" w:hAnsi="Arial"/>
          <w:sz w:val="20"/>
        </w:rPr>
      </w:pPr>
    </w:p>
    <w:p w:rsidR="006F0962" w:rsidRDefault="006F0962" w:rsidP="001770BA">
      <w:pPr>
        <w:jc w:val="center"/>
        <w:rPr>
          <w:rFonts w:ascii="Arial" w:hAnsi="Arial"/>
          <w:sz w:val="20"/>
        </w:rPr>
      </w:pPr>
    </w:p>
    <w:tbl>
      <w:tblPr>
        <w:tblStyle w:val="TableGrid"/>
        <w:tblW w:w="0" w:type="auto"/>
        <w:tblBorders>
          <w:top w:val="single" w:sz="24" w:space="0" w:color="auto"/>
          <w:left w:val="single" w:sz="24" w:space="0" w:color="auto"/>
          <w:bottom w:val="single" w:sz="24" w:space="0" w:color="auto"/>
          <w:right w:val="single" w:sz="24" w:space="0" w:color="auto"/>
          <w:insideH w:val="none" w:sz="0" w:space="0" w:color="auto"/>
          <w:insideV w:val="none" w:sz="0" w:space="0" w:color="auto"/>
        </w:tblBorders>
        <w:tblLook w:val="01E0"/>
      </w:tblPr>
      <w:tblGrid>
        <w:gridCol w:w="2214"/>
        <w:gridCol w:w="2214"/>
        <w:gridCol w:w="2214"/>
        <w:gridCol w:w="2214"/>
      </w:tblGrid>
      <w:tr w:rsidR="00675029">
        <w:tc>
          <w:tcPr>
            <w:tcW w:w="2214" w:type="dxa"/>
            <w:shd w:val="clear" w:color="auto" w:fill="0C0C0C"/>
          </w:tcPr>
          <w:p w:rsidR="00675029" w:rsidRPr="00675029" w:rsidRDefault="00675029" w:rsidP="001770BA">
            <w:pPr>
              <w:jc w:val="center"/>
              <w:rPr>
                <w:rFonts w:ascii="Arial" w:hAnsi="Arial"/>
                <w:b/>
                <w:sz w:val="20"/>
              </w:rPr>
            </w:pPr>
            <w:r w:rsidRPr="00675029">
              <w:rPr>
                <w:rFonts w:ascii="Arial" w:hAnsi="Arial"/>
                <w:b/>
                <w:sz w:val="20"/>
              </w:rPr>
              <w:t>Column 1</w:t>
            </w:r>
          </w:p>
        </w:tc>
        <w:tc>
          <w:tcPr>
            <w:tcW w:w="2214" w:type="dxa"/>
            <w:shd w:val="clear" w:color="auto" w:fill="0C0C0C"/>
          </w:tcPr>
          <w:p w:rsidR="00675029" w:rsidRPr="00675029" w:rsidRDefault="00675029" w:rsidP="001770BA">
            <w:pPr>
              <w:jc w:val="center"/>
              <w:rPr>
                <w:rFonts w:ascii="Arial" w:hAnsi="Arial"/>
                <w:b/>
                <w:sz w:val="20"/>
              </w:rPr>
            </w:pPr>
            <w:r w:rsidRPr="00675029">
              <w:rPr>
                <w:rFonts w:ascii="Arial" w:hAnsi="Arial"/>
                <w:b/>
                <w:sz w:val="20"/>
              </w:rPr>
              <w:t>Column 2</w:t>
            </w:r>
          </w:p>
        </w:tc>
        <w:tc>
          <w:tcPr>
            <w:tcW w:w="2214" w:type="dxa"/>
            <w:shd w:val="clear" w:color="auto" w:fill="0C0C0C"/>
          </w:tcPr>
          <w:p w:rsidR="00675029" w:rsidRPr="00675029" w:rsidRDefault="00675029" w:rsidP="001770BA">
            <w:pPr>
              <w:jc w:val="center"/>
              <w:rPr>
                <w:rFonts w:ascii="Arial" w:hAnsi="Arial"/>
                <w:b/>
                <w:sz w:val="20"/>
              </w:rPr>
            </w:pPr>
            <w:r w:rsidRPr="00675029">
              <w:rPr>
                <w:rFonts w:ascii="Arial" w:hAnsi="Arial"/>
                <w:b/>
                <w:sz w:val="20"/>
              </w:rPr>
              <w:t>Column 3</w:t>
            </w:r>
          </w:p>
        </w:tc>
        <w:tc>
          <w:tcPr>
            <w:tcW w:w="2214" w:type="dxa"/>
            <w:shd w:val="clear" w:color="auto" w:fill="0C0C0C"/>
          </w:tcPr>
          <w:p w:rsidR="00675029" w:rsidRPr="00675029" w:rsidRDefault="00675029" w:rsidP="001770BA">
            <w:pPr>
              <w:jc w:val="center"/>
              <w:rPr>
                <w:rFonts w:ascii="Arial" w:hAnsi="Arial"/>
                <w:b/>
                <w:sz w:val="20"/>
              </w:rPr>
            </w:pPr>
            <w:r w:rsidRPr="00675029">
              <w:rPr>
                <w:rFonts w:ascii="Arial" w:hAnsi="Arial"/>
                <w:b/>
                <w:sz w:val="20"/>
              </w:rPr>
              <w:t>Column 4</w:t>
            </w:r>
          </w:p>
        </w:tc>
      </w:tr>
      <w:tr w:rsidR="00675029">
        <w:tc>
          <w:tcPr>
            <w:tcW w:w="2214" w:type="dxa"/>
          </w:tcPr>
          <w:p w:rsidR="00675029" w:rsidRDefault="00675029" w:rsidP="001770BA">
            <w:pPr>
              <w:jc w:val="center"/>
              <w:rPr>
                <w:rFonts w:ascii="Arial" w:hAnsi="Arial"/>
                <w:sz w:val="20"/>
              </w:rPr>
            </w:pPr>
            <w:r>
              <w:rPr>
                <w:rFonts w:ascii="Arial" w:hAnsi="Arial"/>
                <w:sz w:val="20"/>
              </w:rPr>
              <w:t>Sometimes you just need some miscellaneous information here in order to get the point across</w:t>
            </w:r>
          </w:p>
        </w:tc>
        <w:tc>
          <w:tcPr>
            <w:tcW w:w="2214" w:type="dxa"/>
          </w:tcPr>
          <w:p w:rsidR="00675029" w:rsidRDefault="00675029" w:rsidP="001770BA">
            <w:pPr>
              <w:jc w:val="center"/>
              <w:rPr>
                <w:rFonts w:ascii="Arial" w:hAnsi="Arial"/>
                <w:sz w:val="20"/>
              </w:rPr>
            </w:pPr>
            <w:r>
              <w:rPr>
                <w:rFonts w:ascii="Arial" w:hAnsi="Arial"/>
                <w:sz w:val="20"/>
              </w:rPr>
              <w:t>And other times you need the information to actually make sense</w:t>
            </w:r>
          </w:p>
        </w:tc>
        <w:tc>
          <w:tcPr>
            <w:tcW w:w="2214" w:type="dxa"/>
          </w:tcPr>
          <w:p w:rsidR="00675029" w:rsidRDefault="00675029" w:rsidP="001770BA">
            <w:pPr>
              <w:jc w:val="center"/>
              <w:rPr>
                <w:rFonts w:ascii="Arial" w:hAnsi="Arial"/>
                <w:sz w:val="20"/>
              </w:rPr>
            </w:pPr>
          </w:p>
        </w:tc>
        <w:tc>
          <w:tcPr>
            <w:tcW w:w="2214" w:type="dxa"/>
          </w:tcPr>
          <w:p w:rsidR="00675029" w:rsidRDefault="00675029" w:rsidP="001770BA">
            <w:pPr>
              <w:jc w:val="center"/>
              <w:rPr>
                <w:rFonts w:ascii="Arial" w:hAnsi="Arial"/>
                <w:sz w:val="20"/>
              </w:rPr>
            </w:pPr>
            <w:r>
              <w:rPr>
                <w:rFonts w:ascii="Arial" w:hAnsi="Arial"/>
                <w:sz w:val="20"/>
              </w:rPr>
              <w:t>In this case, I think it is the Previous</w:t>
            </w:r>
          </w:p>
        </w:tc>
      </w:tr>
      <w:tr w:rsidR="00675029">
        <w:tc>
          <w:tcPr>
            <w:tcW w:w="2214" w:type="dxa"/>
          </w:tcPr>
          <w:p w:rsidR="00675029" w:rsidRDefault="00675029" w:rsidP="001770BA">
            <w:pPr>
              <w:jc w:val="center"/>
              <w:rPr>
                <w:rFonts w:ascii="Arial" w:hAnsi="Arial"/>
                <w:sz w:val="20"/>
              </w:rPr>
            </w:pPr>
          </w:p>
        </w:tc>
        <w:tc>
          <w:tcPr>
            <w:tcW w:w="2214" w:type="dxa"/>
          </w:tcPr>
          <w:p w:rsidR="00675029" w:rsidRDefault="00675029" w:rsidP="001770BA">
            <w:pPr>
              <w:jc w:val="center"/>
              <w:rPr>
                <w:rFonts w:ascii="Arial" w:hAnsi="Arial"/>
                <w:sz w:val="20"/>
              </w:rPr>
            </w:pPr>
          </w:p>
        </w:tc>
        <w:tc>
          <w:tcPr>
            <w:tcW w:w="2214" w:type="dxa"/>
          </w:tcPr>
          <w:p w:rsidR="00675029" w:rsidRDefault="00675029" w:rsidP="001770BA">
            <w:pPr>
              <w:jc w:val="center"/>
              <w:rPr>
                <w:rFonts w:ascii="Arial" w:hAnsi="Arial"/>
                <w:sz w:val="20"/>
              </w:rPr>
            </w:pPr>
            <w:r>
              <w:rPr>
                <w:rFonts w:ascii="Arial" w:hAnsi="Arial"/>
                <w:sz w:val="20"/>
              </w:rPr>
              <w:t>As opposed to the latter, in which case we would have had to actually research many, many works and secured rights to use them</w:t>
            </w:r>
          </w:p>
        </w:tc>
        <w:tc>
          <w:tcPr>
            <w:tcW w:w="2214" w:type="dxa"/>
          </w:tcPr>
          <w:p w:rsidR="00675029" w:rsidRDefault="00675029" w:rsidP="001770BA">
            <w:pPr>
              <w:jc w:val="center"/>
              <w:rPr>
                <w:rFonts w:ascii="Arial" w:hAnsi="Arial"/>
                <w:sz w:val="20"/>
              </w:rPr>
            </w:pPr>
          </w:p>
        </w:tc>
      </w:tr>
    </w:tbl>
    <w:p w:rsidR="006F0962" w:rsidRPr="00716AAE" w:rsidRDefault="006F0962" w:rsidP="001770BA">
      <w:pPr>
        <w:jc w:val="center"/>
        <w:rPr>
          <w:rFonts w:ascii="Arial" w:hAnsi="Arial"/>
          <w:sz w:val="20"/>
        </w:rPr>
      </w:pPr>
    </w:p>
    <w:sectPr w:rsidR="006F0962" w:rsidRPr="00716AAE" w:rsidSect="0044282A">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proofState w:spelling="clean" w:grammar="clean"/>
  <w:stylePaneFormatFilter w:val="3F01"/>
  <w:defaultTabStop w:val="720"/>
  <w:characterSpacingControl w:val="doNotCompress"/>
  <w:savePreviewPicture/>
  <w:compat/>
  <w:rsids>
    <w:rsidRoot w:val="00A675B1"/>
    <w:rsid w:val="000A10CE"/>
    <w:rsid w:val="000E4161"/>
    <w:rsid w:val="000F1FBA"/>
    <w:rsid w:val="001141B6"/>
    <w:rsid w:val="0015264D"/>
    <w:rsid w:val="00155D53"/>
    <w:rsid w:val="00172731"/>
    <w:rsid w:val="001770BA"/>
    <w:rsid w:val="001908DE"/>
    <w:rsid w:val="001953EF"/>
    <w:rsid w:val="001B3E20"/>
    <w:rsid w:val="001B3EF3"/>
    <w:rsid w:val="001E1541"/>
    <w:rsid w:val="00241B6A"/>
    <w:rsid w:val="00244678"/>
    <w:rsid w:val="00254126"/>
    <w:rsid w:val="002D248D"/>
    <w:rsid w:val="002E6B7D"/>
    <w:rsid w:val="002F22CF"/>
    <w:rsid w:val="00313B65"/>
    <w:rsid w:val="00313FBD"/>
    <w:rsid w:val="00323B97"/>
    <w:rsid w:val="0034284B"/>
    <w:rsid w:val="00351717"/>
    <w:rsid w:val="0037170E"/>
    <w:rsid w:val="003731B2"/>
    <w:rsid w:val="00395F7E"/>
    <w:rsid w:val="003A0872"/>
    <w:rsid w:val="003A7B60"/>
    <w:rsid w:val="003C1014"/>
    <w:rsid w:val="003C55EC"/>
    <w:rsid w:val="003F67A9"/>
    <w:rsid w:val="00413BEE"/>
    <w:rsid w:val="0044282A"/>
    <w:rsid w:val="00445FAA"/>
    <w:rsid w:val="00467AA4"/>
    <w:rsid w:val="00467B79"/>
    <w:rsid w:val="004B7434"/>
    <w:rsid w:val="004C0831"/>
    <w:rsid w:val="004C2BB5"/>
    <w:rsid w:val="00510C25"/>
    <w:rsid w:val="005172EB"/>
    <w:rsid w:val="00540B14"/>
    <w:rsid w:val="00563076"/>
    <w:rsid w:val="005C6BC7"/>
    <w:rsid w:val="005D7ABB"/>
    <w:rsid w:val="006130D0"/>
    <w:rsid w:val="006418F3"/>
    <w:rsid w:val="00650716"/>
    <w:rsid w:val="00675029"/>
    <w:rsid w:val="006A350C"/>
    <w:rsid w:val="006A370F"/>
    <w:rsid w:val="006B6FD7"/>
    <w:rsid w:val="006F0962"/>
    <w:rsid w:val="00716AAE"/>
    <w:rsid w:val="00735A19"/>
    <w:rsid w:val="00794ACA"/>
    <w:rsid w:val="007B7927"/>
    <w:rsid w:val="00812416"/>
    <w:rsid w:val="008A1309"/>
    <w:rsid w:val="008A26E4"/>
    <w:rsid w:val="008A3B0F"/>
    <w:rsid w:val="008A6A25"/>
    <w:rsid w:val="008B34EA"/>
    <w:rsid w:val="008B39CD"/>
    <w:rsid w:val="008E3347"/>
    <w:rsid w:val="008E778F"/>
    <w:rsid w:val="00972041"/>
    <w:rsid w:val="00973148"/>
    <w:rsid w:val="00994588"/>
    <w:rsid w:val="009C4B89"/>
    <w:rsid w:val="00A03DD3"/>
    <w:rsid w:val="00A26262"/>
    <w:rsid w:val="00A334A3"/>
    <w:rsid w:val="00A36257"/>
    <w:rsid w:val="00A61F4D"/>
    <w:rsid w:val="00A675B1"/>
    <w:rsid w:val="00A73F48"/>
    <w:rsid w:val="00AA7AA3"/>
    <w:rsid w:val="00AB0587"/>
    <w:rsid w:val="00AC6FBC"/>
    <w:rsid w:val="00AE1DCF"/>
    <w:rsid w:val="00AF6D15"/>
    <w:rsid w:val="00B44A9B"/>
    <w:rsid w:val="00B95BAD"/>
    <w:rsid w:val="00B95D22"/>
    <w:rsid w:val="00BC4D95"/>
    <w:rsid w:val="00BD56BC"/>
    <w:rsid w:val="00BE2BAB"/>
    <w:rsid w:val="00C563CB"/>
    <w:rsid w:val="00C71EB3"/>
    <w:rsid w:val="00C76D1B"/>
    <w:rsid w:val="00C844B4"/>
    <w:rsid w:val="00C96016"/>
    <w:rsid w:val="00CA46AA"/>
    <w:rsid w:val="00CA69CA"/>
    <w:rsid w:val="00CB2905"/>
    <w:rsid w:val="00CB3067"/>
    <w:rsid w:val="00CD1940"/>
    <w:rsid w:val="00D335FE"/>
    <w:rsid w:val="00D777B1"/>
    <w:rsid w:val="00D93B1B"/>
    <w:rsid w:val="00DC6899"/>
    <w:rsid w:val="00DD36DC"/>
    <w:rsid w:val="00DD500E"/>
    <w:rsid w:val="00E25E1F"/>
    <w:rsid w:val="00E46066"/>
    <w:rsid w:val="00EA73B8"/>
    <w:rsid w:val="00F1349B"/>
    <w:rsid w:val="00FA4C4A"/>
    <w:rsid w:val="00FD791F"/>
    <w:rsid w:val="00FE4A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6750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Trip Report</vt:lpstr>
    </vt:vector>
  </TitlesOfParts>
  <Company>Adventure Works, Inc.</Company>
  <LinksUpToDate>false</LinksUpToDate>
  <CharactersWithSpaces>1105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Trip Report</dc:title>
  <dc:creator>Eva Corets</dc:creator>
  <cp:keywords>Administration</cp:keywords>
  <cp:lastModifiedBy>Julian</cp:lastModifiedBy>
  <cp:revision>2</cp:revision>
  <dcterms:created xsi:type="dcterms:W3CDTF">2006-11-16T01:47:00Z</dcterms:created>
  <dcterms:modified xsi:type="dcterms:W3CDTF">2006-11-16T01:47:00Z</dcterms:modified>
</cp:coreProperties>
</file>