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KidTechies</w:t>
      </w:r>
    </w:p>
    <w:p>
      <w:pPr>
        <w:spacing w:after="200"/>
      </w:pPr>
      <w:r>
        <w:rPr>
          <w:rFonts w:ascii="Calibri" w:cs="Calibri" w:eastAsia="Calibri" w:hAnsi="Calibri"/>
          <w:color w:val="1F3864"/>
          <w:sz w:val="28"/>
          <w:szCs w:val="28"/>
        </w:rPr>
        <w:t xml:space="preserve">Product fact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Field</w:t>
            </w:r>
          </w:p>
        </w:tc>
        <w:tc>
          <w:tcPr>
            <w:tcW w:type="dxa" w:w="7026"/>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Detail</w:t>
            </w:r>
          </w:p>
        </w:tc>
      </w:tr>
      <w:tr>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To</w:t>
            </w:r>
          </w:p>
        </w:tc>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The Management, KidTechies</w:t>
            </w:r>
          </w:p>
        </w:tc>
      </w:tr>
      <w:tr>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From</w:t>
            </w:r>
          </w:p>
        </w:tc>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Senior Developer  ·  ref KT/DEV/2026-001</w:t>
            </w:r>
          </w:p>
        </w:tc>
      </w:tr>
      <w:tr>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Date</w:t>
            </w:r>
          </w:p>
        </w:tc>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_________________________</w:t>
            </w:r>
          </w:p>
        </w:tc>
      </w:tr>
      <w:tr>
        <w:tc>
          <w:tcPr>
            <w:tcW w:type="dxa" w:w="2000"/>
            <w:tcMar>
              <w:top w:type="dxa" w:w="80"/>
              <w:left w:type="dxa" w:w="110"/>
              <w:bottom w:type="dxa" w:w="80"/>
              <w:right w:type="dxa" w:w="110"/>
            </w:tcMar>
          </w:tcPr>
          <w:p>
            <w:pPr>
              <w:spacing w:after="0"/>
            </w:pPr>
            <w:r>
              <w:rPr>
                <w:rFonts w:ascii="Calibri" w:cs="Calibri" w:eastAsia="Calibri" w:hAnsi="Calibri"/>
                <w:sz w:val="19"/>
                <w:szCs w:val="19"/>
              </w:rPr>
              <w:t xml:space="preserve">Please return by</w:t>
            </w:r>
          </w:p>
        </w:tc>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_________________________</w:t>
            </w:r>
          </w:p>
        </w:tc>
      </w:tr>
    </w:tbl>
    <w:p>
      <w:pPr>
        <w:pStyle w:val="Heading1"/>
        <w:spacing w:after="140" w:before="280"/>
      </w:pPr>
      <w:r>
        <w:rPr>
          <w:rFonts w:ascii="Calibri" w:cs="Calibri" w:eastAsia="Calibri" w:hAnsi="Calibri"/>
          <w:b/>
          <w:bCs/>
          <w:color w:val="1F3864"/>
          <w:sz w:val="28"/>
          <w:szCs w:val="28"/>
        </w:rPr>
        <w:t xml:space="preserve">Why this document exists</w:t>
      </w:r>
    </w:p>
    <w:p>
      <w:pPr>
        <w:spacing w:after="120" w:before="0"/>
      </w:pPr>
      <w:r>
        <w:rPr>
          <w:rFonts w:ascii="Calibri" w:cs="Calibri" w:eastAsia="Calibri" w:hAnsi="Calibri"/>
          <w:sz w:val="20"/>
          <w:szCs w:val="20"/>
        </w:rPr>
        <w:t xml:space="preserve">The six marketing agents are built so they cannot invent a product fact. Every number they use comes from one file, and anything not in that file simply does not get written.</w:t>
      </w:r>
    </w:p>
    <w:p>
      <w:pPr>
        <w:spacing w:after="120" w:before="0"/>
      </w:pPr>
      <w:r>
        <w:rPr>
          <w:rFonts w:ascii="Calibri" w:cs="Calibri" w:eastAsia="Calibri" w:hAnsi="Calibri"/>
          <w:sz w:val="20"/>
          <w:szCs w:val="20"/>
        </w:rPr>
        <w:t xml:space="preserve">That design only works if the file is right. So this is the one document that needs your signature before anything goes to a parent.</w:t>
      </w:r>
    </w:p>
    <w:p>
      <w:pPr>
        <w:spacing w:after="120" w:before="0"/>
      </w:pPr>
      <w:r>
        <w:rPr>
          <w:rFonts w:ascii="Calibri" w:cs="Calibri" w:eastAsia="Calibri" w:hAnsi="Calibri"/>
          <w:b/>
          <w:bCs/>
          <w:sz w:val="20"/>
          <w:szCs w:val="20"/>
        </w:rPr>
        <w:t xml:space="preserve">A note on where the numbers came from. </w:t>
      </w:r>
      <w:r>
        <w:rPr>
          <w:rFonts w:ascii="Calibri" w:cs="Calibri" w:eastAsia="Calibri" w:hAnsi="Calibri"/>
          <w:sz w:val="20"/>
          <w:szCs w:val="20"/>
        </w:rPr>
        <w:t xml:space="preserve">The development specification says to verify product numbers against your live website. We are not doing that, and you should know why: the Growth Dossier identifies the site’s own headline value claim — "23:48 of animated film" beside the $70 price — as an error to retire. Verifying against the site would copy that error into the file every agent treats as truth. So the numbers below come from the Growth Dossier and from you, and where the site disagrees, the site gets corrected. Each of those corrections is listed in Part 4.</w:t>
      </w:r>
    </w:p>
    <w:p>
      <w:pPr>
        <w:spacing w:after="120" w:before="0"/>
      </w:pPr>
      <w:r>
        <w:rPr>
          <w:rFonts w:ascii="Calibri" w:cs="Calibri" w:eastAsia="Calibri" w:hAnsi="Calibri"/>
          <w:sz w:val="20"/>
          <w:szCs w:val="20"/>
        </w:rPr>
        <w:t xml:space="preserve">Please tick </w:t>
      </w:r>
      <w:r>
        <w:rPr>
          <w:rFonts w:ascii="Calibri" w:cs="Calibri" w:eastAsia="Calibri" w:hAnsi="Calibri"/>
          <w:b/>
          <w:bCs/>
          <w:sz w:val="20"/>
          <w:szCs w:val="20"/>
        </w:rPr>
        <w:t xml:space="preserve">Confirm</w:t>
      </w:r>
      <w:r>
        <w:rPr>
          <w:rFonts w:ascii="Calibri" w:cs="Calibri" w:eastAsia="Calibri" w:hAnsi="Calibri"/>
          <w:sz w:val="20"/>
          <w:szCs w:val="20"/>
        </w:rPr>
        <w:t xml:space="preserve"> or write the correct value. An unconfirmed number is not a small gap — it means the agents cannot write about that part of the product at all.</w:t>
      </w:r>
    </w:p>
    <w:p>
      <w:pPr>
        <w:pStyle w:val="Heading1"/>
        <w:spacing w:after="140" w:before="280"/>
      </w:pPr>
      <w:r>
        <w:rPr>
          <w:rFonts w:ascii="Calibri" w:cs="Calibri" w:eastAsia="Calibri" w:hAnsi="Calibri"/>
          <w:b/>
          <w:bCs/>
          <w:color w:val="1F3864"/>
          <w:sz w:val="28"/>
          <w:szCs w:val="28"/>
        </w:rPr>
        <w:t xml:space="preserve">Part 1 — The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000"/>
        <w:gridCol w:w="2426"/>
      </w:tblGrid>
      <w:tr>
        <w:trPr>
          <w:tblHeader/>
        </w:trPr>
        <w:tc>
          <w:tcPr>
            <w:tcW w:type="dxa" w:w="30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Fact</w:t>
            </w:r>
          </w:p>
        </w:tc>
        <w:tc>
          <w:tcPr>
            <w:tcW w:type="dxa" w:w="26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We have</w:t>
            </w:r>
          </w:p>
        </w:tc>
        <w:tc>
          <w:tcPr>
            <w:tcW w:type="dxa" w:w="1000"/>
            <w:shd w:fill="F2F2F2" w:color="auto" w:val="clear"/>
            <w:tcMar>
              <w:top w:type="dxa" w:w="80"/>
              <w:left w:type="dxa" w:w="110"/>
              <w:bottom w:type="dxa" w:w="80"/>
              <w:right w:type="dxa" w:w="110"/>
            </w:tcMar>
          </w:tcPr>
          <w:p>
            <w:pPr>
              <w:spacing w:after="0"/>
              <w:jc w:val="center"/>
            </w:pPr>
            <w:r>
              <w:rPr>
                <w:rFonts w:ascii="Calibri" w:cs="Calibri" w:eastAsia="Calibri" w:hAnsi="Calibri"/>
                <w:b/>
                <w:bCs/>
                <w:sz w:val="19"/>
                <w:szCs w:val="19"/>
              </w:rPr>
              <w:t xml:space="preserve">Confirm</w:t>
            </w:r>
          </w:p>
        </w:tc>
        <w:tc>
          <w:tcPr>
            <w:tcW w:type="dxa" w:w="2426"/>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Correct value</w:t>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Courses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4</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Missions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14</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Core age band</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9–12</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Adaptable to</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6–8 and 13–16</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Guided learning time</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8–9 hours (approx.)</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Activities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28</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Quiz questions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70</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Capstone projects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4</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Printable certificate</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Yes</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Printable activity sheets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Yes</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Story Shelf tales</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6</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Animated film runtime</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23:48</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bl>
    <w:p>
      <w:pPr>
        <w:spacing w:after="120" w:before="180"/>
      </w:pPr>
      <w:r>
        <w:rPr>
          <w:rFonts w:ascii="Calibri" w:cs="Calibri" w:eastAsia="Calibri" w:hAnsi="Calibri"/>
          <w:b/>
          <w:bCs/>
          <w:sz w:val="20"/>
          <w:szCs w:val="20"/>
        </w:rPr>
        <w:t xml:space="preserve">On the age range — please read this one carefully. </w:t>
      </w:r>
      <w:r>
        <w:rPr>
          <w:rFonts w:ascii="Calibri" w:cs="Calibri" w:eastAsia="Calibri" w:hAnsi="Calibri"/>
          <w:sz w:val="20"/>
          <w:szCs w:val="20"/>
        </w:rPr>
        <w:t xml:space="preserve">Your parent page says "ages 9–12, adaptable for 6–8 and 13–16." The Growth Dossier presents these as three equal bands, which reads as three separately built tracks.</w:t>
      </w:r>
    </w:p>
    <w:p>
      <w:pPr>
        <w:spacing w:after="120" w:before="0"/>
      </w:pPr>
      <w:r>
        <w:rPr>
          <w:rFonts w:ascii="Calibri" w:cs="Calibri" w:eastAsia="Calibri" w:hAnsi="Calibri"/>
          <w:sz w:val="20"/>
          <w:szCs w:val="20"/>
        </w:rPr>
        <w:t xml:space="preserve">Those are different products. A parent of a seven-year-old who is told they are buying a course made for their child’s age, and then finds material designed for nine-to-twelves and adapted downwards, has been misled — and that parent reviews, refunds and tells other parents.</w:t>
      </w:r>
    </w:p>
    <w:p>
      <w:pPr>
        <w:spacing w:after="120" w:before="0"/>
      </w:pPr>
      <w:r>
        <w:rPr>
          <w:rFonts w:ascii="Calibri" w:cs="Calibri" w:eastAsia="Calibri" w:hAnsi="Calibri"/>
          <w:sz w:val="20"/>
          <w:szCs w:val="20"/>
        </w:rPr>
        <w:t xml:space="preserve">So unless you correct us, the agents will write </w:t>
      </w:r>
      <w:r>
        <w:rPr>
          <w:rFonts w:ascii="Calibri" w:cs="Calibri" w:eastAsia="Calibri" w:hAnsi="Calibri"/>
          <w:i/>
          <w:iCs/>
          <w:sz w:val="20"/>
          <w:szCs w:val="20"/>
        </w:rPr>
        <w:t xml:space="preserve">"designed for 9–12, adaptable for younger and older children."</w:t>
      </w:r>
      <w:r>
        <w:rPr>
          <w:rFonts w:ascii="Calibri" w:cs="Calibri" w:eastAsia="Calibri" w:hAnsi="Calibri"/>
          <w:sz w:val="20"/>
          <w:szCs w:val="20"/>
        </w:rPr>
        <w:t xml:space="preserve"> Slightly less tidy, and true.</w:t>
      </w:r>
    </w:p>
    <w:p>
      <w:pPr>
        <w:spacing w:after="120" w:before="0"/>
      </w:pPr>
      <w:r>
        <w:rPr>
          <w:rFonts w:ascii="Calibri" w:cs="Calibri" w:eastAsia="Calibri" w:hAnsi="Calibri"/>
          <w:b/>
          <w:bCs/>
          <w:sz w:val="20"/>
          <w:szCs w:val="20"/>
        </w:rPr>
        <w:t xml:space="preserve">On the runtime figure. </w:t>
      </w:r>
      <w:r>
        <w:rPr>
          <w:rFonts w:ascii="Calibri" w:cs="Calibri" w:eastAsia="Calibri" w:hAnsi="Calibri"/>
          <w:sz w:val="20"/>
          <w:szCs w:val="20"/>
        </w:rPr>
        <w:t xml:space="preserve">We will keep it and use it — as a craft detail, phrased as "every second animated by hand, no filler lectures." What it will never do again is sit beside the price as the headline benefit, because read literally it says $2.94 a minute against competitors at $11–25 a month. Leading with 8–9 hours of guided learning says the same thing truthfully and survives the comparison.</w:t>
      </w:r>
    </w:p>
    <w:p>
      <w:pPr>
        <w:pStyle w:val="Heading1"/>
        <w:spacing w:after="140" w:before="280"/>
      </w:pPr>
      <w:r>
        <w:rPr>
          <w:rFonts w:ascii="Calibri" w:cs="Calibri" w:eastAsia="Calibri" w:hAnsi="Calibri"/>
          <w:b/>
          <w:bCs/>
          <w:color w:val="1F3864"/>
          <w:sz w:val="28"/>
          <w:szCs w:val="28"/>
        </w:rPr>
        <w:t xml:space="preserve">Part 2 — Pricing and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000"/>
        <w:gridCol w:w="2426"/>
      </w:tblGrid>
      <w:tr>
        <w:trPr>
          <w:tblHeader/>
        </w:trPr>
        <w:tc>
          <w:tcPr>
            <w:tcW w:type="dxa" w:w="30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Fact</w:t>
            </w:r>
          </w:p>
        </w:tc>
        <w:tc>
          <w:tcPr>
            <w:tcW w:type="dxa" w:w="26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We have</w:t>
            </w:r>
          </w:p>
        </w:tc>
        <w:tc>
          <w:tcPr>
            <w:tcW w:type="dxa" w:w="1000"/>
            <w:shd w:fill="F2F2F2" w:color="auto" w:val="clear"/>
            <w:tcMar>
              <w:top w:type="dxa" w:w="80"/>
              <w:left w:type="dxa" w:w="110"/>
              <w:bottom w:type="dxa" w:w="80"/>
              <w:right w:type="dxa" w:w="110"/>
            </w:tcMar>
          </w:tcPr>
          <w:p>
            <w:pPr>
              <w:spacing w:after="0"/>
              <w:jc w:val="center"/>
            </w:pPr>
            <w:r>
              <w:rPr>
                <w:rFonts w:ascii="Calibri" w:cs="Calibri" w:eastAsia="Calibri" w:hAnsi="Calibri"/>
                <w:b/>
                <w:bCs/>
                <w:sz w:val="19"/>
                <w:szCs w:val="19"/>
              </w:rPr>
              <w:t xml:space="preserve">Confirm</w:t>
            </w:r>
          </w:p>
        </w:tc>
        <w:tc>
          <w:tcPr>
            <w:tcW w:type="dxa" w:w="2426"/>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Correct value</w:t>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Single course</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$25</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Four-course bundle</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$70</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Payment model</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One-time, no subscription</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Free tier</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Mission 1 + all 6 Story Shelf tales</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3000"/>
            <w:tcMar>
              <w:top w:type="dxa" w:w="80"/>
              <w:left w:type="dxa" w:w="110"/>
              <w:bottom w:type="dxa" w:w="80"/>
              <w:right w:type="dxa" w:w="110"/>
            </w:tcMar>
          </w:tcPr>
          <w:p>
            <w:pPr>
              <w:spacing w:after="0"/>
            </w:pPr>
            <w:r>
              <w:rPr>
                <w:rFonts w:ascii="Calibri" w:cs="Calibri" w:eastAsia="Calibri" w:hAnsi="Calibri"/>
                <w:sz w:val="19"/>
                <w:szCs w:val="19"/>
              </w:rPr>
              <w:t xml:space="preserve">Signup for free tier</w:t>
            </w:r>
          </w:p>
        </w:tc>
        <w:tc>
          <w:tcPr>
            <w:tcW w:type="dxa" w:w="2600"/>
            <w:tcMar>
              <w:top w:type="dxa" w:w="80"/>
              <w:left w:type="dxa" w:w="110"/>
              <w:bottom w:type="dxa" w:w="80"/>
              <w:right w:type="dxa" w:w="110"/>
            </w:tcMar>
          </w:tcPr>
          <w:p>
            <w:pPr>
              <w:spacing w:after="0"/>
            </w:pPr>
            <w:r>
              <w:rPr>
                <w:rFonts w:ascii="Calibri" w:cs="Calibri" w:eastAsia="Calibri" w:hAnsi="Calibri"/>
                <w:sz w:val="19"/>
                <w:szCs w:val="19"/>
              </w:rPr>
              <w:t xml:space="preserve">None required</w:t>
            </w:r>
          </w:p>
        </w:tc>
        <w:tc>
          <w:tcPr>
            <w:tcW w:type="dxa" w:w="1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c>
          <w:tcPr>
            <w:tcW w:type="dxa" w:w="2426"/>
            <w:tcMar>
              <w:top w:type="dxa" w:w="80"/>
              <w:left w:type="dxa" w:w="110"/>
              <w:bottom w:type="dxa" w:w="80"/>
              <w:right w:type="dxa" w:w="110"/>
            </w:tcMar>
          </w:tcPr>
          <w:p>
            <w:pPr>
              <w:spacing w:after="0"/>
            </w:pPr>
            <w:r>
              <w:rPr>
                <w:rFonts w:ascii="Calibri" w:cs="Calibri" w:eastAsia="Calibri" w:hAnsi="Calibri"/>
                <w:sz w:val="19"/>
                <w:szCs w:val="19"/>
              </w:rPr>
              <w:t xml:space="preserve"/>
            </w:r>
          </w:p>
        </w:tc>
      </w:tr>
    </w:tbl>
    <w:p>
      <w:pPr>
        <w:pStyle w:val="Heading2"/>
        <w:spacing w:after="140" w:before="280"/>
      </w:pPr>
      <w:r>
        <w:rPr>
          <w:rFonts w:ascii="Calibri" w:cs="Calibri" w:eastAsia="Calibri" w:hAnsi="Calibri"/>
          <w:b/>
          <w:bCs/>
          <w:color w:val="1F3864"/>
          <w:sz w:val="24"/>
          <w:szCs w:val="24"/>
        </w:rPr>
        <w:t xml:space="preserve">Your refund promise already exists — and nobody can see it</w:t>
      </w:r>
    </w:p>
    <w:p>
      <w:pPr>
        <w:spacing w:after="120" w:before="0"/>
      </w:pPr>
      <w:r>
        <w:rPr>
          <w:rFonts w:ascii="Calibri" w:cs="Calibri" w:eastAsia="Calibri" w:hAnsi="Calibri"/>
          <w:sz w:val="20"/>
          <w:szCs w:val="20"/>
        </w:rPr>
        <w:t xml:space="preserve">The Growth Dossier says your site has no refund promise. That is not right. Your terms page says:</w:t>
      </w:r>
    </w:p>
    <w:p>
      <w:pPr>
        <w:spacing w:after="120" w:before="0"/>
        <w:ind w:left="360"/>
      </w:pPr>
      <w:r>
        <w:rPr>
          <w:rFonts w:ascii="Calibri" w:cs="Calibri" w:eastAsia="Calibri" w:hAnsi="Calibri"/>
          <w:i/>
          <w:iCs/>
          <w:sz w:val="20"/>
          <w:szCs w:val="20"/>
        </w:rPr>
        <w:t xml:space="preserve">"If the course is not right for your child, ask for a refund within 30 days and you will get one."</w:t>
      </w:r>
    </w:p>
    <w:p>
      <w:pPr>
        <w:spacing w:after="120" w:before="0"/>
      </w:pPr>
      <w:r>
        <w:rPr>
          <w:rFonts w:ascii="Calibri" w:cs="Calibri" w:eastAsia="Calibri" w:hAnsi="Calibri"/>
          <w:sz w:val="20"/>
          <w:szCs w:val="20"/>
        </w:rPr>
        <w:t xml:space="preserve">That is an excellent promise, plainly written, and it is buried on the one page nobody reads. It belongs on the pricing page, beside the price, where it removes the last hesitation before someone pays.</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Confirmed — 30 days, no form, no reason. Move it to the pricing page.</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The wording needs changing first:  ______________________________________</w:t>
      </w:r>
    </w:p>
    <w:p>
      <w:pPr>
        <w:pStyle w:val="Heading2"/>
        <w:spacing w:after="140" w:before="280"/>
      </w:pPr>
      <w:r>
        <w:rPr>
          <w:rFonts w:ascii="Calibri" w:cs="Calibri" w:eastAsia="Calibri" w:hAnsi="Calibri"/>
          <w:b/>
          <w:bCs/>
          <w:color w:val="1F3864"/>
          <w:sz w:val="24"/>
          <w:szCs w:val="24"/>
        </w:rPr>
        <w:t xml:space="preserve">The $100 anchor</w:t>
      </w:r>
    </w:p>
    <w:p>
      <w:pPr>
        <w:spacing w:after="120" w:before="0"/>
      </w:pPr>
      <w:r>
        <w:rPr>
          <w:rFonts w:ascii="Calibri" w:cs="Calibri" w:eastAsia="Calibri" w:hAnsi="Calibri"/>
          <w:sz w:val="20"/>
          <w:szCs w:val="20"/>
        </w:rPr>
        <w:t xml:space="preserve">Your pricing page shows the bundle as </w:t>
      </w:r>
      <w:r>
        <w:rPr>
          <w:rFonts w:ascii="Calibri" w:cs="Calibri" w:eastAsia="Calibri" w:hAnsi="Calibri"/>
          <w:b/>
          <w:bCs/>
          <w:sz w:val="20"/>
          <w:szCs w:val="20"/>
        </w:rPr>
        <w:t xml:space="preserve">$100 struck through, $70, "Save $30 · 30% off."</w:t>
      </w:r>
      <w:r>
        <w:rPr>
          <w:rFonts w:ascii="Calibri" w:cs="Calibri" w:eastAsia="Calibri" w:hAnsi="Calibri"/>
          <w:sz w:val="20"/>
          <w:szCs w:val="20"/>
        </w:rPr>
        <w:t xml:space="preserve"> This is not mentioned anywhere in the Growth Dossier, so we would like your steer before the agents write about price.</w:t>
      </w:r>
    </w:p>
    <w:p>
      <w:pPr>
        <w:spacing w:after="120" w:before="0"/>
      </w:pPr>
      <w:r>
        <w:rPr>
          <w:rFonts w:ascii="Calibri" w:cs="Calibri" w:eastAsia="Calibri" w:hAnsi="Calibri"/>
          <w:sz w:val="20"/>
          <w:szCs w:val="20"/>
        </w:rPr>
        <w:t xml:space="preserve">The dossier’s recommended framing is a permanent-value argument: one payment, nothing that renews. A struck-through anchor is a different argument — a discount, which invites the question of when it ends. Both work. They do not work together.</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Keep the anchor — agents write price as a discount</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Drop the anchor, $70 is just the price — agents write permanent value</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Let’s discuss</w:t>
      </w:r>
    </w:p>
    <w:p>
      <w:pPr>
        <w:pStyle w:val="Heading1"/>
        <w:spacing w:after="140" w:before="280"/>
      </w:pPr>
      <w:r>
        <w:rPr>
          <w:rFonts w:ascii="Calibri" w:cs="Calibri" w:eastAsia="Calibri" w:hAnsi="Calibri"/>
          <w:b/>
          <w:bCs/>
          <w:color w:val="1F3864"/>
          <w:sz w:val="28"/>
          <w:szCs w:val="28"/>
        </w:rPr>
        <w:t xml:space="preserve">Part 3 — Privacy claims</w:t>
      </w:r>
    </w:p>
    <w:p>
      <w:pPr>
        <w:spacing w:after="120" w:before="0"/>
      </w:pPr>
      <w:r>
        <w:rPr>
          <w:rFonts w:ascii="Calibri" w:cs="Calibri" w:eastAsia="Calibri" w:hAnsi="Calibri"/>
          <w:sz w:val="20"/>
          <w:szCs w:val="20"/>
        </w:rPr>
        <w:t xml:space="preserve">These are the most important rows on this form. The privacy architecture is the brand’s strongest differentiator, and a stale privacy claim in parent-facing copy is the single highest-consequence failure this system could produce.</w:t>
      </w:r>
    </w:p>
    <w:p>
      <w:pPr>
        <w:spacing w:after="120" w:before="0"/>
      </w:pPr>
      <w:r>
        <w:rPr>
          <w:rFonts w:ascii="Calibri" w:cs="Calibri" w:eastAsia="Calibri" w:hAnsi="Calibri"/>
          <w:sz w:val="20"/>
          <w:szCs w:val="20"/>
        </w:rPr>
        <w:t xml:space="preserve">These are your own words, taken from your parents page on 18 September. We would rather the agents reuse this wording than paraphrase it — it is already better than anything we would 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Your site says</w:t>
            </w:r>
          </w:p>
        </w:tc>
        <w:tc>
          <w:tcPr>
            <w:tcW w:type="dxa" w:w="2000"/>
            <w:shd w:fill="F2F2F2" w:color="auto" w:val="clear"/>
            <w:tcMar>
              <w:top w:type="dxa" w:w="80"/>
              <w:left w:type="dxa" w:w="110"/>
              <w:bottom w:type="dxa" w:w="80"/>
              <w:right w:type="dxa" w:w="110"/>
            </w:tcMar>
          </w:tcPr>
          <w:p>
            <w:pPr>
              <w:spacing w:after="0"/>
              <w:jc w:val="center"/>
            </w:pPr>
            <w:r>
              <w:rPr>
                <w:rFonts w:ascii="Calibri" w:cs="Calibri" w:eastAsia="Calibri" w:hAnsi="Calibri"/>
                <w:b/>
                <w:bCs/>
                <w:sz w:val="19"/>
                <w:szCs w:val="19"/>
              </w:rPr>
              <w:t xml:space="preserve">Confirm still true</w:t>
            </w:r>
          </w:p>
        </w:tc>
      </w:tr>
      <w:tr>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"No account, no sign-up, no email address"</w:t>
            </w:r>
          </w:p>
        </w:tc>
        <w:tc>
          <w:tcPr>
            <w:tcW w:type="dxa" w:w="2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r>
      <w:tr>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"Progress is stored in this browser only, never sent to a server"</w:t>
            </w:r>
          </w:p>
        </w:tc>
        <w:tc>
          <w:tcPr>
            <w:tcW w:type="dxa" w:w="2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r>
      <w:tr>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"No advertising, no tracking scripts, no third-party analytics"</w:t>
            </w:r>
          </w:p>
        </w:tc>
        <w:tc>
          <w:tcPr>
            <w:tcW w:type="dxa" w:w="2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r>
      <w:tr>
        <w:tc>
          <w:tcPr>
            <w:tcW w:type="dxa" w:w="7026"/>
            <w:tcMar>
              <w:top w:type="dxa" w:w="80"/>
              <w:left w:type="dxa" w:w="110"/>
              <w:bottom w:type="dxa" w:w="80"/>
              <w:right w:type="dxa" w:w="110"/>
            </w:tcMar>
          </w:tcPr>
          <w:p>
            <w:pPr>
              <w:spacing w:after="0"/>
            </w:pPr>
            <w:r>
              <w:rPr>
                <w:rFonts w:ascii="Calibri" w:cs="Calibri" w:eastAsia="Calibri" w:hAnsi="Calibri"/>
                <w:sz w:val="19"/>
                <w:szCs w:val="19"/>
              </w:rPr>
              <w:t xml:space="preserve">"Erase all progress, badges and activity records"</w:t>
            </w:r>
          </w:p>
        </w:tc>
        <w:tc>
          <w:tcPr>
            <w:tcW w:type="dxa" w:w="2000"/>
            <w:tcMar>
              <w:top w:type="dxa" w:w="80"/>
              <w:left w:type="dxa" w:w="110"/>
              <w:bottom w:type="dxa" w:w="80"/>
              <w:right w:type="dxa" w:w="110"/>
            </w:tcMar>
          </w:tcPr>
          <w:p>
            <w:pPr>
              <w:spacing w:after="0"/>
              <w:jc w:val="center"/>
            </w:pPr>
            <w:r>
              <w:rPr>
                <w:rFonts w:ascii="Calibri" w:cs="Calibri" w:eastAsia="Calibri" w:hAnsi="Calibri"/>
                <w:sz w:val="19"/>
                <w:szCs w:val="19"/>
              </w:rPr>
              <w:t xml:space="preserve">☐</w:t>
            </w:r>
          </w:p>
        </w:tc>
      </w:tr>
    </w:tbl>
    <w:p>
      <w:pPr>
        <w:spacing w:after="120" w:before="160"/>
      </w:pPr>
      <w:r>
        <w:rPr>
          <w:rFonts w:ascii="Calibri" w:cs="Calibri" w:eastAsia="Calibri" w:hAnsi="Calibri"/>
          <w:b/>
          <w:bCs/>
          <w:color w:val="C00000"/>
          <w:sz w:val="20"/>
          <w:szCs w:val="20"/>
        </w:rPr>
        <w:t xml:space="preserve">If you install analytics, row 3 changes the same day. </w:t>
      </w:r>
      <w:r>
        <w:rPr>
          <w:rFonts w:ascii="Calibri" w:cs="Calibri" w:eastAsia="Calibri" w:hAnsi="Calibri"/>
          <w:sz w:val="20"/>
          <w:szCs w:val="20"/>
        </w:rPr>
        <w:t xml:space="preserve">A cookieless, no-personal-data tool keeps the promise honest — but "no third-party analytics" would no longer be accurate, and the honest replacement is to name the tool openly on the parent page as a further proof point. Tell us the day it goes live and we update the file that morning.</w:t>
      </w:r>
    </w:p>
    <w:p>
      <w:pPr>
        <w:pStyle w:val="Heading1"/>
        <w:spacing w:after="140" w:before="280"/>
      </w:pPr>
      <w:r>
        <w:rPr>
          <w:rFonts w:ascii="Calibri" w:cs="Calibri" w:eastAsia="Calibri" w:hAnsi="Calibri"/>
          <w:b/>
          <w:bCs/>
          <w:color w:val="1F3864"/>
          <w:sz w:val="28"/>
          <w:szCs w:val="28"/>
        </w:rPr>
        <w:t xml:space="preserve">Part 4 — Things we could not find</w:t>
      </w:r>
    </w:p>
    <w:p>
      <w:pPr>
        <w:spacing w:after="120" w:before="0"/>
      </w:pPr>
      <w:r>
        <w:rPr>
          <w:rFonts w:ascii="Calibri" w:cs="Calibri" w:eastAsia="Calibri" w:hAnsi="Calibri"/>
          <w:sz w:val="20"/>
          <w:szCs w:val="20"/>
        </w:rPr>
        <w:t xml:space="preserve">We went through your live site on 18 September and recovered most of what was missing — all four course names and all six Story Shelf titles. What follows is what the site could not tell us. The agents cannot write about any of these until you fill them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200"/>
        <w:gridCol w:w="2026"/>
      </w:tblGrid>
      <w:tr>
        <w:trPr>
          <w:tblHeader/>
        </w:trPr>
        <w:tc>
          <w:tcPr>
            <w:tcW w:type="dxa" w:w="500"/>
            <w:shd w:fill="F2F2F2" w:color="auto" w:val="clear"/>
            <w:tcMar>
              <w:top w:type="dxa" w:w="80"/>
              <w:left w:type="dxa" w:w="110"/>
              <w:bottom w:type="dxa" w:w="80"/>
              <w:right w:type="dxa" w:w="110"/>
            </w:tcMar>
          </w:tcPr>
          <w:p>
            <w:pPr>
              <w:spacing w:after="0"/>
              <w:jc w:val="center"/>
            </w:pPr>
            <w:r>
              <w:rPr>
                <w:rFonts w:ascii="Calibri" w:cs="Calibri" w:eastAsia="Calibri" w:hAnsi="Calibri"/>
                <w:b/>
                <w:bCs/>
                <w:sz w:val="19"/>
                <w:szCs w:val="19"/>
              </w:rPr>
              <w:t xml:space="preserve">#</w:t>
            </w:r>
          </w:p>
        </w:tc>
        <w:tc>
          <w:tcPr>
            <w:tcW w:type="dxa" w:w="23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Needed</w:t>
            </w:r>
          </w:p>
        </w:tc>
        <w:tc>
          <w:tcPr>
            <w:tcW w:type="dxa" w:w="42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Why it matters</w:t>
            </w:r>
          </w:p>
        </w:tc>
        <w:tc>
          <w:tcPr>
            <w:tcW w:type="dxa" w:w="2026"/>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Your answer</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1</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Do 28 activities and 70 quiz questions exist?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Both appear in the Growth Dossier but nowhere on your site. They are good, concrete numbers and we would like to use them — we just cannot invent them.</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2</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Is there a printable certificate?</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Same. Not found anywhere.</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3</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Do printable activity sheets exist?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Urgent. Your whole pitch to teachers and homeschool leads rests on printables solving a classroom where half the children have no device. If they do not exist yet, we need to rethink the school outreach before the first emails go out.</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4</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Are Maya, Pip and Glitch current?</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The dossier names them as the characters. We could not find them on the pages we checked.</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5</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Exactly what is free?</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Which mission, and which stories. The free trial is your single strongest asset and we want to describe it precisely.</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6</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Founder name — and may we use it in copy?</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Your pricing page has no human being on it at all.</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7</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Company legal name and location</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Required trust signal, and the first thing a school checks before replying.</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8</w:t>
            </w:r>
          </w:p>
        </w:tc>
        <w:tc>
          <w:tcPr>
            <w:tcW w:type="dxa" w:w="2300"/>
            <w:tcMar>
              <w:top w:type="dxa" w:w="80"/>
              <w:left w:type="dxa" w:w="110"/>
              <w:bottom w:type="dxa" w:w="80"/>
              <w:right w:type="dxa" w:w="110"/>
            </w:tcMar>
          </w:tcPr>
          <w:p>
            <w:pPr>
              <w:spacing w:after="0"/>
            </w:pPr>
            <w:r>
              <w:rPr>
                <w:rFonts w:ascii="Calibri" w:cs="Calibri" w:eastAsia="Calibri" w:hAnsi="Calibri"/>
                <w:sz w:val="19"/>
                <w:szCs w:val="19"/>
              </w:rPr>
              <w:t xml:space="preserve">Contact email address</w:t>
            </w:r>
          </w:p>
        </w:tc>
        <w:tc>
          <w:tcPr>
            <w:tcW w:type="dxa" w:w="4200"/>
            <w:tcMar>
              <w:top w:type="dxa" w:w="80"/>
              <w:left w:type="dxa" w:w="110"/>
              <w:bottom w:type="dxa" w:w="80"/>
              <w:right w:type="dxa" w:w="110"/>
            </w:tcMar>
          </w:tcPr>
          <w:p>
            <w:pPr>
              <w:spacing w:after="0"/>
            </w:pPr>
            <w:r>
              <w:rPr>
                <w:rFonts w:ascii="Calibri" w:cs="Calibri" w:eastAsia="Calibri" w:hAnsi="Calibri"/>
                <w:sz w:val="19"/>
                <w:szCs w:val="19"/>
              </w:rPr>
              <w:t xml:space="preserve">See the note below.</w:t>
            </w:r>
          </w:p>
        </w:tc>
        <w:tc>
          <w:tcPr>
            <w:tcW w:type="dxa" w:w="2026"/>
            <w:tcMar>
              <w:top w:type="dxa" w:w="80"/>
              <w:left w:type="dxa" w:w="110"/>
              <w:bottom w:type="dxa" w:w="80"/>
              <w:right w:type="dxa" w:w="110"/>
            </w:tcMar>
          </w:tcPr>
          <w:p>
            <w:pPr>
              <w:spacing w:after="0"/>
            </w:pPr>
            <w:r>
              <w:rPr>
                <w:rFonts w:ascii="Calibri" w:cs="Calibri" w:eastAsia="Calibri" w:hAnsi="Calibri"/>
                <w:sz w:val="19"/>
                <w:szCs w:val="19"/>
              </w:rPr>
              <w:t xml:space="preserve"/>
            </w:r>
          </w:p>
        </w:tc>
      </w:tr>
    </w:tbl>
    <w:p>
      <w:pPr>
        <w:pStyle w:val="Heading2"/>
        <w:spacing w:after="140" w:before="280"/>
      </w:pPr>
      <w:r>
        <w:rPr>
          <w:rFonts w:ascii="Calibri" w:cs="Calibri" w:eastAsia="Calibri" w:hAnsi="Calibri"/>
          <w:b/>
          <w:bCs/>
          <w:color w:val="1F3864"/>
          <w:sz w:val="24"/>
          <w:szCs w:val="24"/>
        </w:rPr>
        <w:t xml:space="preserve">One thing you will want to fix today</w:t>
      </w:r>
    </w:p>
    <w:p>
      <w:pPr>
        <w:spacing w:after="120" w:before="0"/>
      </w:pPr>
      <w:r>
        <w:rPr>
          <w:rFonts w:ascii="Calibri" w:cs="Calibri" w:eastAsia="Calibri" w:hAnsi="Calibri"/>
          <w:sz w:val="20"/>
          <w:szCs w:val="20"/>
        </w:rPr>
        <w:t xml:space="preserve">Your terms page currently says questions should go to </w:t>
      </w:r>
      <w:r>
        <w:rPr>
          <w:rFonts w:ascii="Calibri" w:cs="Calibri" w:eastAsia="Calibri" w:hAnsi="Calibri"/>
          <w:i/>
          <w:iCs/>
          <w:sz w:val="20"/>
          <w:szCs w:val="20"/>
        </w:rPr>
        <w:t xml:space="preserve">"whoever operates this installation of AI for Kids."</w:t>
      </w:r>
    </w:p>
    <w:p>
      <w:pPr>
        <w:spacing w:after="120" w:before="0"/>
      </w:pPr>
      <w:r>
        <w:rPr>
          <w:rFonts w:ascii="Calibri" w:cs="Calibri" w:eastAsia="Calibri" w:hAnsi="Calibri"/>
          <w:sz w:val="20"/>
          <w:szCs w:val="20"/>
        </w:rPr>
        <w:t xml:space="preserve">That is unmodified template text, sitting on a page a parent reads before paying and a school’s data-protection officer reads before replying. It reads as abandoned. It is the cheapest trust fix available to you — it costs a decision, not a development day.</w:t>
      </w:r>
    </w:p>
    <w:p>
      <w:pPr>
        <w:pStyle w:val="Heading1"/>
        <w:spacing w:after="140" w:before="280"/>
      </w:pPr>
      <w:r>
        <w:rPr>
          <w:rFonts w:ascii="Calibri" w:cs="Calibri" w:eastAsia="Calibri" w:hAnsi="Calibri"/>
          <w:b/>
          <w:bCs/>
          <w:color w:val="1F3864"/>
          <w:sz w:val="28"/>
          <w:szCs w:val="28"/>
        </w:rPr>
        <w:t xml:space="preserve">Part 5 — Site corrections that unblock claims</w:t>
      </w:r>
    </w:p>
    <w:p>
      <w:pPr>
        <w:spacing w:after="120" w:before="0"/>
      </w:pPr>
      <w:r>
        <w:rPr>
          <w:rFonts w:ascii="Calibri" w:cs="Calibri" w:eastAsia="Calibri" w:hAnsi="Calibri"/>
          <w:sz w:val="20"/>
          <w:szCs w:val="20"/>
        </w:rPr>
        <w:t xml:space="preserve">Each of these is a small site change that lets the agents say something they currently cannot. None is in our scope — they are yours to schedule — but the marketing is constrained until they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700"/>
        <w:gridCol w:w="1426"/>
      </w:tblGrid>
      <w:tr>
        <w:trPr>
          <w:tblHeader/>
        </w:trPr>
        <w:tc>
          <w:tcPr>
            <w:tcW w:type="dxa" w:w="500"/>
            <w:shd w:fill="F2F2F2" w:color="auto" w:val="clear"/>
            <w:tcMar>
              <w:top w:type="dxa" w:w="80"/>
              <w:left w:type="dxa" w:w="110"/>
              <w:bottom w:type="dxa" w:w="80"/>
              <w:right w:type="dxa" w:w="110"/>
            </w:tcMar>
          </w:tcPr>
          <w:p>
            <w:pPr>
              <w:spacing w:after="0"/>
              <w:jc w:val="center"/>
            </w:pPr>
            <w:r>
              <w:rPr>
                <w:rFonts w:ascii="Calibri" w:cs="Calibri" w:eastAsia="Calibri" w:hAnsi="Calibri"/>
                <w:b/>
                <w:bCs/>
                <w:sz w:val="19"/>
                <w:szCs w:val="19"/>
              </w:rPr>
              <w:t xml:space="preserve">#</w:t>
            </w:r>
          </w:p>
        </w:tc>
        <w:tc>
          <w:tcPr>
            <w:tcW w:type="dxa" w:w="34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Change</w:t>
            </w:r>
          </w:p>
        </w:tc>
        <w:tc>
          <w:tcPr>
            <w:tcW w:type="dxa" w:w="37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 it unblocks</w:t>
            </w:r>
          </w:p>
        </w:tc>
        <w:tc>
          <w:tcPr>
            <w:tcW w:type="dxa" w:w="1426"/>
            <w:shd w:fill="F2F2F2" w:color="auto" w:val="clear"/>
            <w:tcMar>
              <w:top w:type="dxa" w:w="80"/>
              <w:left w:type="dxa" w:w="110"/>
              <w:bottom w:type="dxa" w:w="80"/>
              <w:right w:type="dxa" w:w="110"/>
            </w:tcMar>
          </w:tcPr>
          <w:p>
            <w:pPr>
              <w:spacing w:after="0"/>
              <w:jc w:val="center"/>
            </w:pPr>
            <w:r>
              <w:rPr>
                <w:rFonts w:ascii="Calibri" w:cs="Calibri" w:eastAsia="Calibri" w:hAnsi="Calibri"/>
                <w:b/>
                <w:bCs/>
                <w:sz w:val="19"/>
                <w:szCs w:val="19"/>
              </w:rPr>
              <w:t xml:space="preserve">Effort</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1</w:t>
            </w:r>
          </w:p>
        </w:tc>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Pricing page leads with 8–9 hours, not the runtime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Honest value framing that survives comparison shopping</w:t>
            </w:r>
          </w:p>
        </w:tc>
        <w:tc>
          <w:tcPr>
            <w:tcW w:type="dxa" w:w="1426"/>
            <w:tcMar>
              <w:top w:type="dxa" w:w="80"/>
              <w:left w:type="dxa" w:w="110"/>
              <w:bottom w:type="dxa" w:w="80"/>
              <w:right w:type="dxa" w:w="110"/>
            </w:tcMar>
          </w:tcPr>
          <w:p>
            <w:pPr>
              <w:spacing w:after="0"/>
              <w:jc w:val="center"/>
            </w:pPr>
            <w:r>
              <w:rPr>
                <w:rFonts w:ascii="Calibri" w:cs="Calibri" w:eastAsia="Calibri" w:hAnsi="Calibri"/>
                <w:sz w:val="19"/>
                <w:szCs w:val="19"/>
              </w:rPr>
              <w:t xml:space="preserve">1 day</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2</w:t>
            </w:r>
          </w:p>
        </w:tc>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One brand name in the page title and footer — see Part 6</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Every search, share and word-of-mouth stops splitting in two</w:t>
            </w:r>
          </w:p>
        </w:tc>
        <w:tc>
          <w:tcPr>
            <w:tcW w:type="dxa" w:w="1426"/>
            <w:tcMar>
              <w:top w:type="dxa" w:w="80"/>
              <w:left w:type="dxa" w:w="110"/>
              <w:bottom w:type="dxa" w:w="80"/>
              <w:right w:type="dxa" w:w="110"/>
            </w:tcMar>
          </w:tcPr>
          <w:p>
            <w:pPr>
              <w:spacing w:after="0"/>
              <w:jc w:val="center"/>
            </w:pPr>
            <w:r>
              <w:rPr>
                <w:rFonts w:ascii="Calibri" w:cs="Calibri" w:eastAsia="Calibri" w:hAnsi="Calibri"/>
                <w:sz w:val="19"/>
                <w:szCs w:val="19"/>
              </w:rPr>
              <w:t xml:space="preserve">1 hour</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3</w:t>
            </w:r>
          </w:p>
        </w:tc>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Refund line on the pricing page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The refund claim becomes usable</w:t>
            </w:r>
          </w:p>
        </w:tc>
        <w:tc>
          <w:tcPr>
            <w:tcW w:type="dxa" w:w="1426"/>
            <w:tcMar>
              <w:top w:type="dxa" w:w="80"/>
              <w:left w:type="dxa" w:w="110"/>
              <w:bottom w:type="dxa" w:w="80"/>
              <w:right w:type="dxa" w:w="110"/>
            </w:tcMar>
          </w:tcPr>
          <w:p>
            <w:pPr>
              <w:spacing w:after="0"/>
              <w:jc w:val="center"/>
            </w:pPr>
            <w:r>
              <w:rPr>
                <w:rFonts w:ascii="Calibri" w:cs="Calibri" w:eastAsia="Calibri" w:hAnsi="Calibri"/>
                <w:sz w:val="19"/>
                <w:szCs w:val="19"/>
              </w:rPr>
              <w:t xml:space="preserve">½ day</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4</w:t>
            </w:r>
          </w:p>
        </w:tc>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Founder photo and name, company location, contact address</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The trust furniture a parent looks for before paying</w:t>
            </w:r>
          </w:p>
        </w:tc>
        <w:tc>
          <w:tcPr>
            <w:tcW w:type="dxa" w:w="1426"/>
            <w:tcMar>
              <w:top w:type="dxa" w:w="80"/>
              <w:left w:type="dxa" w:w="110"/>
              <w:bottom w:type="dxa" w:w="80"/>
              <w:right w:type="dxa" w:w="110"/>
            </w:tcMar>
          </w:tcPr>
          <w:p>
            <w:pPr>
              <w:spacing w:after="0"/>
              <w:jc w:val="center"/>
            </w:pPr>
            <w:r>
              <w:rPr>
                <w:rFonts w:ascii="Calibri" w:cs="Calibri" w:eastAsia="Calibri" w:hAnsi="Calibri"/>
                <w:sz w:val="19"/>
                <w:szCs w:val="19"/>
              </w:rPr>
              <w:t xml:space="preserve">1 day</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5</w:t>
            </w:r>
          </w:p>
        </w:tc>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Move the "no subtitles / placeholder illustrations / quizzes under review" notes to a dated What we’re building next page</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Honesty stays an asset instead of reading as unfinished on the page where money changes hands</w:t>
            </w:r>
          </w:p>
        </w:tc>
        <w:tc>
          <w:tcPr>
            <w:tcW w:type="dxa" w:w="1426"/>
            <w:tcMar>
              <w:top w:type="dxa" w:w="80"/>
              <w:left w:type="dxa" w:w="110"/>
              <w:bottom w:type="dxa" w:w="80"/>
              <w:right w:type="dxa" w:w="110"/>
            </w:tcMar>
          </w:tcPr>
          <w:p>
            <w:pPr>
              <w:spacing w:after="0"/>
              <w:jc w:val="center"/>
            </w:pPr>
            <w:r>
              <w:rPr>
                <w:rFonts w:ascii="Calibri" w:cs="Calibri" w:eastAsia="Calibri" w:hAnsi="Calibri"/>
                <w:sz w:val="19"/>
                <w:szCs w:val="19"/>
              </w:rPr>
              <w:t xml:space="preserve">½ day</w:t>
            </w:r>
          </w:p>
        </w:tc>
      </w:tr>
      <w:tr>
        <w:tc>
          <w:tcPr>
            <w:tcW w:type="dxa" w:w="500"/>
            <w:tcMar>
              <w:top w:type="dxa" w:w="80"/>
              <w:left w:type="dxa" w:w="110"/>
              <w:bottom w:type="dxa" w:w="80"/>
              <w:right w:type="dxa" w:w="110"/>
            </w:tcMar>
          </w:tcPr>
          <w:p>
            <w:pPr>
              <w:spacing w:after="0"/>
              <w:jc w:val="center"/>
            </w:pPr>
            <w:r>
              <w:rPr>
                <w:rFonts w:ascii="Calibri" w:cs="Calibri" w:eastAsia="Calibri" w:hAnsi="Calibri"/>
                <w:sz w:val="19"/>
                <w:szCs w:val="19"/>
              </w:rPr>
              <w:t xml:space="preserve">6</w:t>
            </w:r>
          </w:p>
        </w:tc>
        <w:tc>
          <w:tcPr>
            <w:tcW w:type="dxa" w:w="3400"/>
            <w:tcMar>
              <w:top w:type="dxa" w:w="80"/>
              <w:left w:type="dxa" w:w="110"/>
              <w:bottom w:type="dxa" w:w="80"/>
              <w:right w:type="dxa" w:w="110"/>
            </w:tcMar>
          </w:tcPr>
          <w:p>
            <w:pPr>
              <w:spacing w:after="0"/>
            </w:pPr>
            <w:r>
              <w:rPr>
                <w:rFonts w:ascii="Calibri" w:cs="Calibri" w:eastAsia="Calibri" w:hAnsi="Calibri"/>
                <w:sz w:val="19"/>
                <w:szCs w:val="19"/>
              </w:rPr>
              <w:t xml:space="preserve">Three parent quotes</w:t>
            </w:r>
          </w:p>
        </w:tc>
        <w:tc>
          <w:tcPr>
            <w:tcW w:type="dxa" w:w="3700"/>
            <w:tcMar>
              <w:top w:type="dxa" w:w="80"/>
              <w:left w:type="dxa" w:w="110"/>
              <w:bottom w:type="dxa" w:w="80"/>
              <w:right w:type="dxa" w:w="110"/>
            </w:tcMar>
          </w:tcPr>
          <w:p>
            <w:pPr>
              <w:spacing w:after="0"/>
            </w:pPr>
            <w:r>
              <w:rPr>
                <w:rFonts w:ascii="Calibri" w:cs="Calibri" w:eastAsia="Calibri" w:hAnsi="Calibri"/>
                <w:sz w:val="19"/>
                <w:szCs w:val="19"/>
              </w:rPr>
              <w:t xml:space="preserve">Until three real quotes exist, no testimonial may appear in any draft</w:t>
            </w:r>
          </w:p>
        </w:tc>
        <w:tc>
          <w:tcPr>
            <w:tcW w:type="dxa" w:w="1426"/>
            <w:tcMar>
              <w:top w:type="dxa" w:w="80"/>
              <w:left w:type="dxa" w:w="110"/>
              <w:bottom w:type="dxa" w:w="80"/>
              <w:right w:type="dxa" w:w="110"/>
            </w:tcMar>
          </w:tcPr>
          <w:p>
            <w:pPr>
              <w:spacing w:after="0"/>
              <w:jc w:val="center"/>
            </w:pPr>
            <w:r>
              <w:rPr>
                <w:rFonts w:ascii="Calibri" w:cs="Calibri" w:eastAsia="Calibri" w:hAnsi="Calibri"/>
                <w:sz w:val="19"/>
                <w:szCs w:val="19"/>
              </w:rPr>
              <w:t xml:space="preserve">Collect first</w:t>
            </w:r>
          </w:p>
        </w:tc>
      </w:tr>
    </w:tbl>
    <w:p>
      <w:pPr>
        <w:pStyle w:val="Heading1"/>
        <w:spacing w:after="140" w:before="280"/>
      </w:pPr>
      <w:r>
        <w:rPr>
          <w:rFonts w:ascii="Calibri" w:cs="Calibri" w:eastAsia="Calibri" w:hAnsi="Calibri"/>
          <w:b/>
          <w:bCs/>
          <w:color w:val="1F3864"/>
          <w:sz w:val="28"/>
          <w:szCs w:val="28"/>
        </w:rPr>
        <w:t xml:space="preserve">Part 6 — The brand name</w:t>
      </w:r>
    </w:p>
    <w:p>
      <w:pPr>
        <w:spacing w:after="120" w:before="0"/>
      </w:pPr>
      <w:r>
        <w:rPr>
          <w:rFonts w:ascii="Calibri" w:cs="Calibri" w:eastAsia="Calibri" w:hAnsi="Calibri"/>
          <w:sz w:val="20"/>
          <w:szCs w:val="20"/>
        </w:rPr>
        <w:t xml:space="preserve">The site currently runs two names: </w:t>
      </w:r>
      <w:r>
        <w:rPr>
          <w:rFonts w:ascii="Calibri" w:cs="Calibri" w:eastAsia="Calibri" w:hAnsi="Calibri"/>
          <w:b/>
          <w:bCs/>
          <w:sz w:val="20"/>
          <w:szCs w:val="20"/>
        </w:rPr>
        <w:t xml:space="preserve">KidTechies</w:t>
      </w:r>
      <w:r>
        <w:rPr>
          <w:rFonts w:ascii="Calibri" w:cs="Calibri" w:eastAsia="Calibri" w:hAnsi="Calibri"/>
          <w:sz w:val="20"/>
          <w:szCs w:val="20"/>
        </w:rPr>
        <w:t xml:space="preserve"> and </w:t>
      </w:r>
      <w:r>
        <w:rPr>
          <w:rFonts w:ascii="Calibri" w:cs="Calibri" w:eastAsia="Calibri" w:hAnsi="Calibri"/>
          <w:b/>
          <w:bCs/>
          <w:sz w:val="20"/>
          <w:szCs w:val="20"/>
        </w:rPr>
        <w:t xml:space="preserve">AI for Kids</w:t>
      </w:r>
      <w:r>
        <w:rPr>
          <w:rFonts w:ascii="Calibri" w:cs="Calibri" w:eastAsia="Calibri" w:hAnsi="Calibri"/>
          <w:sz w:val="20"/>
          <w:szCs w:val="20"/>
        </w:rPr>
        <w:t xml:space="preserve"> (page title, footer). Two brands split every search result, every share and every word-of-mouth recommendation you earn. One has to go.</w:t>
      </w:r>
    </w:p>
    <w:p>
      <w:pPr>
        <w:spacing w:after="120" w:before="0"/>
      </w:pPr>
      <w:r>
        <w:rPr>
          <w:rFonts w:ascii="Calibri" w:cs="Calibri" w:eastAsia="Calibri" w:hAnsi="Calibri"/>
          <w:sz w:val="20"/>
          <w:szCs w:val="20"/>
        </w:rPr>
        <w:t xml:space="preserve">Our recommendation: keep </w:t>
      </w:r>
      <w:r>
        <w:rPr>
          <w:rFonts w:ascii="Calibri" w:cs="Calibri" w:eastAsia="Calibri" w:hAnsi="Calibri"/>
          <w:b/>
          <w:bCs/>
          <w:sz w:val="20"/>
          <w:szCs w:val="20"/>
        </w:rPr>
        <w:t xml:space="preserve">KidTechies</w:t>
      </w:r>
      <w:r>
        <w:rPr>
          <w:rFonts w:ascii="Calibri" w:cs="Calibri" w:eastAsia="Calibri" w:hAnsi="Calibri"/>
          <w:sz w:val="20"/>
          <w:szCs w:val="20"/>
        </w:rPr>
        <w:t xml:space="preserve"> as the brand, use "AI for kids" only as the plain-English descriptor beneath it.</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Agreed — KidTechies is the brand</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We prefer AI for Kids as the brand</w:t>
      </w:r>
    </w:p>
    <w:p>
      <w:pPr>
        <w:spacing w:after="80" w:before="0"/>
      </w:pPr>
      <w:r>
        <w:rPr>
          <w:rFonts w:ascii="Calibri" w:cs="Calibri" w:eastAsia="Calibri" w:hAnsi="Calibri"/>
          <w:sz w:val="24"/>
          <w:szCs w:val="24"/>
        </w:rPr>
        <w:t xml:space="preserve">☐  </w:t>
      </w:r>
      <w:r>
        <w:rPr>
          <w:rFonts w:ascii="Calibri" w:cs="Calibri" w:eastAsia="Calibri" w:hAnsi="Calibri"/>
          <w:sz w:val="20"/>
          <w:szCs w:val="20"/>
        </w:rPr>
        <w:t xml:space="preserve">Let’s discuss</w:t>
      </w:r>
    </w:p>
    <w:p>
      <w:pPr>
        <w:pBdr>
          <w:bottom w:val="single" w:color="BFBFBF" w:sz="6"/>
        </w:pBdr>
        <w:spacing w:after="160" w:before="160"/>
      </w:pPr>
      <w:r>
        <w:rPr>
          <w:sz w:val="2"/>
          <w:szCs w:val="2"/>
        </w:rPr>
        <w:t xml:space="preserve"/>
      </w:r>
    </w:p>
    <w:p>
      <w:pPr>
        <w:pStyle w:val="Heading1"/>
        <w:spacing w:after="140" w:before="280"/>
      </w:pPr>
      <w:r>
        <w:rPr>
          <w:rFonts w:ascii="Calibri" w:cs="Calibri" w:eastAsia="Calibri" w:hAnsi="Calibri"/>
          <w:b/>
          <w:bCs/>
          <w:color w:val="1F3864"/>
          <w:sz w:val="28"/>
          <w:szCs w:val="28"/>
        </w:rPr>
        <w:t xml:space="preserve">Approval</w:t>
      </w:r>
    </w:p>
    <w:p>
      <w:pPr>
        <w:spacing w:after="120" w:before="0"/>
      </w:pPr>
      <w:r>
        <w:rPr>
          <w:rFonts w:ascii="Calibri" w:cs="Calibri" w:eastAsia="Calibri" w:hAnsi="Calibri"/>
          <w:sz w:val="20"/>
          <w:szCs w:val="20"/>
        </w:rPr>
        <w:t xml:space="preserve">Only the people named here may change product facts or permitted claims once the file is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Role</w:t>
            </w:r>
          </w:p>
        </w:tc>
        <w:tc>
          <w:tcPr>
            <w:tcW w:type="dxa" w:w="3300"/>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Name</w:t>
            </w:r>
          </w:p>
        </w:tc>
        <w:tc>
          <w:tcPr>
            <w:tcW w:type="dxa" w:w="3326"/>
            <w:shd w:fill="F2F2F2"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Position</w:t>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Primary approver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
            </w:r>
          </w:p>
        </w:tc>
        <w:tc>
          <w:tcPr>
            <w:tcW w:type="dxa" w:w="3326"/>
            <w:tcMar>
              <w:top w:type="dxa" w:w="80"/>
              <w:left w:type="dxa" w:w="110"/>
              <w:bottom w:type="dxa" w:w="80"/>
              <w:right w:type="dxa" w:w="110"/>
            </w:tcMar>
          </w:tcPr>
          <w:p>
            <w:pPr>
              <w:spacing w:after="0"/>
            </w:pPr>
            <w:r>
              <w:rPr>
                <w:rFonts w:ascii="Calibri" w:cs="Calibri" w:eastAsia="Calibri" w:hAnsi="Calibri"/>
                <w:sz w:val="19"/>
                <w:szCs w:val="19"/>
              </w:rPr>
              <w:t xml:space="preserve"/>
            </w:r>
          </w:p>
        </w:tc>
      </w:tr>
      <w:tr>
        <w:tc>
          <w:tcPr>
            <w:tcW w:type="dxa" w:w="2400"/>
            <w:tcMar>
              <w:top w:type="dxa" w:w="80"/>
              <w:left w:type="dxa" w:w="110"/>
              <w:bottom w:type="dxa" w:w="80"/>
              <w:right w:type="dxa" w:w="110"/>
            </w:tcMar>
          </w:tcPr>
          <w:p>
            <w:pPr>
              <w:spacing w:after="0"/>
            </w:pPr>
            <w:r>
              <w:rPr>
                <w:rFonts w:ascii="Calibri" w:cs="Calibri" w:eastAsia="Calibri" w:hAnsi="Calibri"/>
                <w:sz w:val="19"/>
                <w:szCs w:val="19"/>
              </w:rPr>
              <w:t xml:space="preserve">Backup approver</w:t>
            </w:r>
          </w:p>
        </w:tc>
        <w:tc>
          <w:tcPr>
            <w:tcW w:type="dxa" w:w="3300"/>
            <w:tcMar>
              <w:top w:type="dxa" w:w="80"/>
              <w:left w:type="dxa" w:w="110"/>
              <w:bottom w:type="dxa" w:w="80"/>
              <w:right w:type="dxa" w:w="110"/>
            </w:tcMar>
          </w:tcPr>
          <w:p>
            <w:pPr>
              <w:spacing w:after="0"/>
            </w:pPr>
            <w:r>
              <w:rPr>
                <w:rFonts w:ascii="Calibri" w:cs="Calibri" w:eastAsia="Calibri" w:hAnsi="Calibri"/>
                <w:sz w:val="19"/>
                <w:szCs w:val="19"/>
              </w:rPr>
              <w:t xml:space="preserve"/>
            </w:r>
          </w:p>
        </w:tc>
        <w:tc>
          <w:tcPr>
            <w:tcW w:type="dxa" w:w="3326"/>
            <w:tcMar>
              <w:top w:type="dxa" w:w="80"/>
              <w:left w:type="dxa" w:w="110"/>
              <w:bottom w:type="dxa" w:w="80"/>
              <w:right w:type="dxa" w:w="110"/>
            </w:tcMar>
          </w:tcPr>
          <w:p>
            <w:pPr>
              <w:spacing w:after="0"/>
            </w:pPr>
            <w:r>
              <w:rPr>
                <w:rFonts w:ascii="Calibri" w:cs="Calibri" w:eastAsia="Calibri" w:hAnsi="Calibri"/>
                <w:sz w:val="19"/>
                <w:szCs w:val="19"/>
              </w:rPr>
              <w:t xml:space="preserve"/>
            </w:r>
          </w:p>
        </w:tc>
      </w:tr>
    </w:tbl>
    <w:p>
      <w:pPr>
        <w:spacing w:after="120" w:before="200"/>
      </w:pPr>
      <w:r>
        <w:rPr>
          <w:rFonts w:ascii="Calibri" w:cs="Calibri" w:eastAsia="Calibri" w:hAnsi="Calibri"/>
          <w:sz w:val="20"/>
          <w:szCs w:val="20"/>
        </w:rPr>
        <w:t xml:space="preserve">Feedback turnaround we can rely on:   </w:t>
      </w:r>
      <w:r>
        <w:rPr>
          <w:rFonts w:ascii="Calibri" w:cs="Calibri" w:eastAsia="Calibri" w:hAnsi="Calibri"/>
          <w:sz w:val="24"/>
          <w:szCs w:val="24"/>
        </w:rPr>
        <w:t xml:space="preserve">☐ same day    </w:t>
      </w:r>
      <w:r>
        <w:rPr>
          <w:rFonts w:ascii="Calibri" w:cs="Calibri" w:eastAsia="Calibri" w:hAnsi="Calibri"/>
          <w:sz w:val="24"/>
          <w:szCs w:val="24"/>
        </w:rPr>
        <w:t xml:space="preserve">☐ next day    </w:t>
      </w:r>
      <w:r>
        <w:rPr>
          <w:rFonts w:ascii="Calibri" w:cs="Calibri" w:eastAsia="Calibri" w:hAnsi="Calibri"/>
          <w:sz w:val="24"/>
          <w:szCs w:val="24"/>
        </w:rPr>
        <w:t xml:space="preserve">☐ other: ____________</w:t>
      </w:r>
    </w:p>
    <w:p>
      <w:pPr>
        <w:spacing w:after="120" w:before="120"/>
      </w:pPr>
      <w:r>
        <w:rPr>
          <w:rFonts w:ascii="Calibri" w:cs="Calibri" w:eastAsia="Calibri" w:hAnsi="Calibri"/>
          <w:i/>
          <w:iCs/>
          <w:sz w:val="20"/>
          <w:szCs w:val="20"/>
        </w:rPr>
        <w:t xml:space="preserve">Slow review is the most common cause of delay on a project like this. Drafts waiting for approval hold up the tuning that makes the next drafts better.</w:t>
      </w:r>
    </w:p>
    <w:p>
      <w:pPr>
        <w:spacing w:after="120" w:before="280"/>
      </w:pPr>
      <w:r>
        <w:rPr>
          <w:rFonts w:ascii="Calibri" w:cs="Calibri" w:eastAsia="Calibri" w:hAnsi="Calibri"/>
          <w:sz w:val="20"/>
          <w:szCs w:val="20"/>
        </w:rPr>
        <w:t xml:space="preserve">Signed:  ______________________________          Date:  __________________</w:t>
      </w:r>
    </w:p>
    <w:p>
      <w:pPr>
        <w:pBdr>
          <w:bottom w:val="single" w:color="BFBFBF" w:sz="6"/>
        </w:pBdr>
        <w:spacing w:after="160" w:before="160"/>
      </w:pPr>
      <w:r>
        <w:rPr>
          <w:sz w:val="2"/>
          <w:szCs w:val="2"/>
        </w:rPr>
        <w:t xml:space="preserve"/>
      </w:r>
    </w:p>
    <w:p>
      <w:pPr>
        <w:spacing w:after="120" w:before="0"/>
      </w:pPr>
      <w:r>
        <w:rPr>
          <w:rFonts w:ascii="Calibri" w:cs="Calibri" w:eastAsia="Calibri" w:hAnsi="Calibri"/>
          <w:i/>
          <w:iCs/>
          <w:sz w:val="20"/>
          <w:szCs w:val="20"/>
        </w:rPr>
        <w:t xml:space="preserve">Once this comes back, the knowledge base moves from draft to version 1.0 and the agents are cleared to produce parent-facing work. Until then they run in test mode, and every draft carries a visible notice that it contains unconfirmed facts.</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KidTechies — Product fact approval</dc:title>
  <dc:creator>KidTechies AI Marketing Agent project</dc:creator>
  <cp:lastModifiedBy>Un-named</cp:lastModifiedBy>
  <cp:revision>1</cp:revision>
  <dcterms:created xsi:type="dcterms:W3CDTF">2026-09-21T14:37:45.762Z</dcterms:created>
  <dcterms:modified xsi:type="dcterms:W3CDTF">2026-09-21T14:37:45.763Z</dcterms:modified>
</cp:coreProperties>
</file>

<file path=docProps/custom.xml><?xml version="1.0" encoding="utf-8"?>
<Properties xmlns="http://schemas.openxmlformats.org/officeDocument/2006/custom-properties" xmlns:vt="http://schemas.openxmlformats.org/officeDocument/2006/docPropsVTypes"/>
</file>