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06f1e0a700504bbe" /></Relationships>
</file>

<file path=word/document.xml><?xml version="1.0" encoding="utf-8"?>
<w:document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w:body>
    <w:p>
      <w:pPr/>
      <w:r>
        <w:t>RELEVANT PROJECT REFERENCES</w:t>
      </w:r>
    </w:p>
    <w:tbl>
      <w:tblPr>
        <w:jc w:val="center"/>
        <w:tblW w:type="dxa" w:w="11339"/>
      </w:tblPr>
      <w:tr>
        <w:trPr/>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Client</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Project Details</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Date Started</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Project Value</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Contacts</w:t>
            </w:r>
          </w:p>
        </w:tc>
      </w:tr>
    </w:tbl>
    <w:tbl>
      <w:tblPr>
        <w:jc w:val="center"/>
        <w:tblW w:type="dxa" w:w="11339"/>
      </w:tblPr>
      <w:tr>
        <w:trPr/>
        <w:tc>
          <w:tcPr>
            <w:tcBorders>
              <w:left w:val="single" w:sz="8" w:space="0" w:color="00FFFF"/>
              <w:top w:val="single" w:sz="8" w:space="0" w:color="00FFFF"/>
              <w:right w:val="single" w:sz="8" w:space="0" w:color="00FFFF"/>
              <w:bottom w:val="single" w:sz="8" w:space="0" w:color="00FFFF"/>
            </w:tcBorders>
          </w:tcPr>
          <w:p>
            <w:pPr>
              <w:jc w:val="both"/>
              <w:spacing w:before="283" w:after="283"/>
            </w:pPr>
            <w:r>
              <w:rPr>
                <w:b w:val="1"/>
                <w:bCs w:val="1"/>
                <w:color w:val="000000"/>
                <w:rFonts w:ascii="Cambria" w:hAnsi="Cambria" w:cs="Cambria" w:eastAsia="Cambria"/>
                <w:sz w:val="22"/>
                <w:szCs w:val="22"/>
              </w:rPr>
              <w:t>Johannesburg Social Housing Company (Joshco)</w:t>
            </w:r>
          </w:p>
        </w:tc>
        <w:tc>
          <w:tcPr>
            <w:shd w:fill="CCCCCC"/>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Conducting Customer Satisfaction Surveys once a year at Housing Estates operated by Joshco and presenting the report to Joshco Management. This led to a lot of improvements in access control and general service delivery by Joshco. Also conducted Socio-economic surveys to establish the reasons for non-payment of rentals at various estates managed by Joshco. Updated</w:t>
            </w:r>
          </w:p>
        </w:tc>
        <w:tc>
          <w:tcPr>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April 2011 to June 2017</w:t>
            </w:r>
          </w:p>
        </w:tc>
        <w:tc>
          <w:tcPr>
            <w:shd w:fill="CCCCCC"/>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R752k (to date at the rate of R188k per year)</w:t>
            </w:r>
          </w:p>
        </w:tc>
        <w:tc>
          <w:tcPr>
            <w:tcBorders>
              <w:left w:val="single" w:sz="8" w:space="0" w:color="00FFFF"/>
              <w:top w:val="single" w:sz="8" w:space="0" w:color="00FFFF"/>
              <w:right w:val="single" w:sz="8" w:space="0" w:color="00FFFF"/>
              <w:bottom w:val="single" w:sz="8" w:space="0" w:color="00FFFF"/>
            </w:tcBorders>
          </w:tcPr>
          <w:p>
            <w:pPr>
              <w:jc w:val="both"/>
              <w:spacing w:before="283" w:after="283"/>
            </w:pPr>
          </w:p>
        </w:tc>
      </w:tr>
      <w:tr>
        <w:trPr/>
        <w:tc>
          <w:tcPr>
            <w:shd w:fill="CCCCCC"/>
            <w:tcBorders>
              <w:left w:val="single" w:sz="8" w:space="0" w:color="00FFFF"/>
              <w:top w:val="single" w:sz="8" w:space="0" w:color="00FFFF"/>
              <w:right w:val="single" w:sz="8" w:space="0" w:color="00FFFF"/>
              <w:bottom w:val="single" w:sz="8" w:space="0" w:color="00FFFF"/>
            </w:tcBorders>
          </w:tcPr>
          <w:p>
            <w:pPr>
              <w:jc w:val="both"/>
              <w:spacing w:before="283" w:after="283"/>
            </w:pPr>
            <w:r>
              <w:rPr>
                <w:b w:val="1"/>
                <w:bCs w:val="1"/>
                <w:color w:val="000000"/>
                <w:rFonts w:ascii="Cambria" w:hAnsi="Cambria" w:cs="Cambria" w:eastAsia="Cambria"/>
                <w:sz w:val="22"/>
                <w:szCs w:val="22"/>
              </w:rPr>
              <w:t>Kei Fresh Produce Market</w:t>
            </w:r>
          </w:p>
        </w:tc>
        <w:tc>
          <w:tcPr>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Environmental scan, research instruments design, identification and training of 20 field research workers, field work, data capture, data analysis and interpretation, report writing and recommending hawkers and small scale farmers empowerment strategy.  A total of 3475 face to face interviews (345 more than envisaged) conducted in 7 local municipalities of OR Tambo District and parts of Chris Hani District, Amatole District and Alfred Nzo District, covering more than square kilometres 16,000km2   in 10 days. Employed and empowered 20 unemployed college graduates through training and allowances. Implementation underway</w:t>
            </w:r>
          </w:p>
        </w:tc>
        <w:tc>
          <w:tcPr>
            <w:shd w:fill="CCCCCC"/>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August 2009 and August 2012</w:t>
            </w:r>
          </w:p>
        </w:tc>
        <w:tc>
          <w:tcPr>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R165k</w:t>
            </w:r>
          </w:p>
        </w:tc>
        <w:tc>
          <w:tcPr>
            <w:shd w:fill="CCCCCC"/>
            <w:tcBorders>
              <w:left w:val="single" w:sz="8" w:space="0" w:color="00FFFF"/>
              <w:top w:val="single" w:sz="8" w:space="0" w:color="00FFFF"/>
              <w:right w:val="single" w:sz="8" w:space="0" w:color="00FFFF"/>
              <w:bottom w:val="single" w:sz="8" w:space="0" w:color="00FFFF"/>
            </w:tcBorders>
          </w:tcPr>
          <w:p>
            <w:pPr>
              <w:jc w:val="both"/>
              <w:spacing w:before="283" w:after="283"/>
            </w:pPr>
          </w:p>
        </w:tc>
      </w:tr>
      <w:tr>
        <w:trPr/>
        <w:tc>
          <w:tcPr>
            <w:tcBorders>
              <w:left w:val="single" w:sz="8" w:space="0" w:color="00FFFF"/>
              <w:top w:val="single" w:sz="8" w:space="0" w:color="00FFFF"/>
              <w:right w:val="single" w:sz="8" w:space="0" w:color="00FFFF"/>
              <w:bottom w:val="single" w:sz="8" w:space="0" w:color="00FFFF"/>
            </w:tcBorders>
          </w:tcPr>
          <w:p>
            <w:pPr>
              <w:jc w:val="both"/>
              <w:spacing w:before="283" w:after="283"/>
            </w:pPr>
            <w:r>
              <w:rPr>
                <w:b w:val="1"/>
                <w:bCs w:val="1"/>
                <w:color w:val="000000"/>
                <w:rFonts w:ascii="Cambria" w:hAnsi="Cambria" w:cs="Cambria" w:eastAsia="Cambria"/>
                <w:sz w:val="22"/>
                <w:szCs w:val="22"/>
              </w:rPr>
              <w:t>Asgisa-EC</w:t>
            </w:r>
          </w:p>
        </w:tc>
        <w:tc>
          <w:tcPr>
            <w:shd w:fill="CCCCCC"/>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Exploratory research on the complexities of implementing Recognition of Prior Learning in the Public Service Sector in South Africa</w:t>
            </w:r>
          </w:p>
        </w:tc>
        <w:tc>
          <w:tcPr>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July 2012 to March 2013</w:t>
            </w:r>
          </w:p>
        </w:tc>
        <w:tc>
          <w:tcPr>
            <w:shd w:fill="CCCCCC"/>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R500k</w:t>
            </w:r>
          </w:p>
        </w:tc>
        <w:tc>
          <w:tcPr>
            <w:tcBorders>
              <w:left w:val="single" w:sz="8" w:space="0" w:color="00FFFF"/>
              <w:top w:val="single" w:sz="8" w:space="0" w:color="00FFFF"/>
              <w:right w:val="single" w:sz="8" w:space="0" w:color="00FFFF"/>
              <w:bottom w:val="single" w:sz="8" w:space="0" w:color="00FFFF"/>
            </w:tcBorders>
          </w:tcPr>
          <w:p>
            <w:pPr>
              <w:jc w:val="both"/>
              <w:spacing w:before="283" w:after="283"/>
            </w:pPr>
          </w:p>
        </w:tc>
      </w:tr>
    </w:tbl>
    <w:p>
      <w:pPr>
        <w:sectPr>
          <w:pgSz w:h="15840" w:orient="portrait" w:w="12240"/>
          <w:pgMar w:bottom="567" w:footer="0" w:gutter="0" w:header="0" w:left="1134" w:right="1134" w:top="567"/>
          <w:cols w:equalWidth="1" w:num="1" w:space="708" w:sep="0"/>
        </w:sectPr>
      </w:pPr>
    </w:p>
    <w:p>
      <w:pPr/>
      <w:r>
        <w:t>PROJECT TEAM AND RESEARCH TEAM MEMBERS</w:t>
      </w:r>
    </w:p>
    <w:tbl>
      <w:tblPr>
        <w:jc w:val="center"/>
        <w:tblW w:type="dxa" w:w="11339"/>
      </w:tblPr>
      <w:tr>
        <w:trPr/>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NAME AND CREDENTIALS</w:t>
            </w:r>
          </w:p>
        </w:tc>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POSITION</w:t>
            </w:r>
          </w:p>
        </w:tc>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RESPONSIBILITIES</w:t>
            </w:r>
          </w:p>
        </w:tc>
      </w:tr>
    </w:tbl>
    <w:tbl>
      <w:tblPr>
        <w:jc w:val="center"/>
        <w:tblW w:type="dxa" w:w="11339"/>
      </w:tblPr>
      <w:tr>
        <w:trPr/>
        <w:tc>
          <w:tcPr>
            <w:tcBorders>
              <w:left w:val="single" w:sz="8" w:space="0" w:color="000000"/>
              <w:top w:val="single" w:sz="8" w:space="0" w:color="000000"/>
              <w:right w:val="single" w:sz="8" w:space="0" w:color="000000"/>
              <w:bottom w:val="single" w:sz="8" w:space="0" w:color="000000"/>
            </w:tcBorders>
          </w:tcPr>
          <w:p>
            <w:pPr>
              <w:jc w:val="both"/>
              <w:spacing w:before="283" w:after="283"/>
            </w:pPr>
            <w:r>
              <w:rPr>
                <w:b w:val="1"/>
                <w:bCs w:val="1"/>
                <w:color w:val="000000"/>
                <w:rFonts w:ascii="Cambria" w:hAnsi="Cambria" w:cs="Cambria" w:eastAsia="Cambria"/>
                <w:sz w:val="22"/>
                <w:szCs w:val="22"/>
              </w:rPr>
              <w:t>Michael Ncube ( MBL, BCom Finance, Dip. Mkt IMM )</w:t>
            </w:r>
            <w:r>
              <w:rPr>
                <w:b w:val="0"/>
                <w:bCs w:val="0"/>
                <w:color w:val="000000"/>
                <w:rFonts w:ascii="Cambria" w:hAnsi="Cambria" w:cs="Cambria" w:eastAsia="Cambria"/>
                <w:sz w:val="22"/>
                <w:szCs w:val="22"/>
              </w:rPr>
              <w:t xml:space="preserve">Michael (Mike) has a Masters in Business Leadership (MBL), BCom in Financial Management and a Diploma in Marketing Management (IMM). He has a total of more than 20 years marketing experience and 10 years consulting and research experience. Most of his experience comes from the insurance industry where he worked for Old Mutual as Area Manager and later as an Independent Broker before joining Insedlu in the capacity of Senior Portfolio Manager. Since joining Insedlu, Mike has helped a lot of small businesses to establish markets and operating systems, market surveys, raising finance, business planning, training and secure tenders. Mike will act as a Field Research Supervisor. </w:t>
            </w:r>
          </w:p>
        </w:tc>
        <w:tc>
          <w:tcPr>
            <w:tcBorders>
              <w:left w:val="single" w:sz="8" w:space="0" w:color="000000"/>
              <w:top w:val="single" w:sz="8" w:space="0" w:color="000000"/>
              <w:right w:val="single" w:sz="8" w:space="0" w:color="000000"/>
              <w:bottom w:val="single" w:sz="8" w:space="0" w:color="000000"/>
            </w:tcBorders>
          </w:tcPr>
          <w:p>
            <w:pPr>
              <w:jc w:val="both"/>
              <w:spacing w:before="283" w:after="283"/>
            </w:pPr>
            <w:r>
              <w:rPr>
                <w:color w:val="000000"/>
                <w:rFonts w:ascii="Cambria" w:hAnsi="Cambria" w:cs="Cambria" w:eastAsia="Cambria"/>
                <w:sz w:val="22"/>
                <w:szCs w:val="22"/>
              </w:rPr>
              <w:t xml:space="preserve">Fieldwork-Coordinator </w:t>
            </w:r>
          </w:p>
        </w:tc>
        <w:tc>
          <w:tcPr>
            <w:tcBorders>
              <w:left w:val="single" w:sz="8" w:space="0" w:color="000000"/>
              <w:top w:val="single" w:sz="8" w:space="0" w:color="000000"/>
              <w:right w:val="single" w:sz="8" w:space="0" w:color="000000"/>
              <w:bottom w:val="single" w:sz="8" w:space="0" w:color="000000"/>
            </w:tcBorders>
          </w:tcPr>
          <w:p>
            <w:pPr>
              <w:jc w:val="both"/>
              <w:spacing w:before="283" w:after="283"/>
            </w:pPr>
            <w:r>
              <w:rPr>
                <w:color w:val="000000"/>
                <w:rFonts w:ascii="Cambria" w:hAnsi="Cambria" w:cs="Cambria" w:eastAsia="Cambria"/>
                <w:sz w:val="22"/>
                <w:szCs w:val="22"/>
              </w:rPr>
              <w:t>- Training fieldworkers- Supervising field workers as well as assist in report writing-  Updating website.</w:t>
            </w:r>
          </w:p>
        </w:tc>
      </w:tr>
      <w:tr>
        <w:trPr/>
        <w:tc>
          <w:tcPr>
            <w:tcBorders>
              <w:left w:val="single" w:sz="8" w:space="0" w:color="000000"/>
              <w:top w:val="single" w:sz="8" w:space="0" w:color="000000"/>
              <w:right w:val="single" w:sz="8" w:space="0" w:color="000000"/>
              <w:bottom w:val="single" w:sz="8" w:space="0" w:color="000000"/>
            </w:tcBorders>
          </w:tcPr>
          <w:p>
            <w:pPr>
              <w:jc w:val="both"/>
              <w:spacing w:before="283" w:after="283"/>
            </w:pPr>
            <w:r>
              <w:rPr>
                <w:b w:val="1"/>
                <w:bCs w:val="1"/>
                <w:color w:val="000000"/>
                <w:rFonts w:ascii="Cambria" w:hAnsi="Cambria" w:cs="Cambria" w:eastAsia="Cambria"/>
                <w:sz w:val="22"/>
                <w:szCs w:val="22"/>
              </w:rPr>
              <w:t>Barbara Mahoso ( Post Grad Certificate in Strategic Management,BSc Statistics &amp; Mathematics )</w:t>
            </w:r>
            <w:r>
              <w:rPr>
                <w:b w:val="0"/>
                <w:bCs w:val="0"/>
                <w:color w:val="000000"/>
                <w:rFonts w:ascii="Cambria" w:hAnsi="Cambria" w:cs="Cambria" w:eastAsia="Cambria"/>
                <w:sz w:val="22"/>
                <w:szCs w:val="22"/>
              </w:rPr>
              <w:t>Barbara is a brilliant researcher with exceptional data analysis and interpretation skills. Barbara has worked for a number of research houses as an Analyst, Head of Quantitative Dept., and Senior Researcher and as a Research Consultant. She has extensive experience in research including Socio ­ economic impact assessments, Employee Satisfaction Surveys, Stakeholder Satisfaction Surveys Perception studies, Churn analysisa and Customer Value Propositions.She is competent in statistical Software packages such as SPSS etc, designing and creating questionnaires, data entry templates and quality control protocols.</w:t>
            </w:r>
          </w:p>
        </w:tc>
        <w:tc>
          <w:tcPr>
            <w:tcBorders>
              <w:left w:val="single" w:sz="8" w:space="0" w:color="000000"/>
              <w:top w:val="single" w:sz="8" w:space="0" w:color="000000"/>
              <w:right w:val="single" w:sz="8" w:space="0" w:color="000000"/>
              <w:bottom w:val="single" w:sz="8" w:space="0" w:color="000000"/>
            </w:tcBorders>
          </w:tcPr>
          <w:p>
            <w:pPr>
              <w:jc w:val="both"/>
              <w:spacing w:before="283" w:after="283"/>
            </w:pPr>
            <w:r>
              <w:rPr>
                <w:color w:val="000000"/>
                <w:rFonts w:ascii="Cambria" w:hAnsi="Cambria" w:cs="Cambria" w:eastAsia="Cambria"/>
                <w:sz w:val="22"/>
                <w:szCs w:val="22"/>
              </w:rPr>
              <w:t>Data Analyst</w:t>
            </w:r>
          </w:p>
        </w:tc>
        <w:tc>
          <w:tcPr>
            <w:tcBorders>
              <w:left w:val="single" w:sz="8" w:space="0" w:color="000000"/>
              <w:top w:val="single" w:sz="8" w:space="0" w:color="000000"/>
              <w:right w:val="single" w:sz="8" w:space="0" w:color="000000"/>
              <w:bottom w:val="single" w:sz="8" w:space="0" w:color="000000"/>
            </w:tcBorders>
          </w:tcPr>
          <w:p>
            <w:pPr>
              <w:jc w:val="both"/>
              <w:spacing w:before="283" w:after="283"/>
            </w:pPr>
            <w:r>
              <w:rPr>
                <w:color w:val="000000"/>
                <w:rFonts w:ascii="Cambria" w:hAnsi="Cambria" w:cs="Cambria" w:eastAsia="Cambria"/>
                <w:sz w:val="22"/>
                <w:szCs w:val="22"/>
              </w:rPr>
              <w:t>- Analysis and interpretation of data, overall monitoring of data capturing and assist in report writing</w:t>
            </w:r>
          </w:p>
        </w:tc>
      </w:tr>
    </w:tbl>
    <w:p>
      <w:pPr>
        <w:spacing w:before="200"/>
      </w:pPr>
      <w:r>
        <w:rPr>
          <w:b w:val="1"/>
          <w:bCs w:val="1"/>
          <w:color w:val="000000"/>
          <w:sz w:val="24"/>
          <w:szCs w:val="24"/>
        </w:rPr>
        <w:t>Created by the trial version of Document .Net 2.5.3.3!</w:t>
      </w:r>
      <w:r>
        <w:br w:type="textWrapping"/>
      </w:r>
      <w:r>
        <w:rPr>
          <w:color w:val="000000"/>
          <w:sz w:val="24"/>
          <w:szCs w:val="24"/>
        </w:rPr>
        <w:t>The trial version can process only 300 paragraphs.</w:t>
      </w:r>
      <w:r>
        <w:br w:type="textWrapping"/>
      </w:r>
      <w:hyperlink r:id="Rd7a5e2c122224984">
        <w:r>
          <w:rPr>
            <w:color w:val="0000FF"/>
            <w:sz w:val="24"/>
            <w:szCs w:val="24"/>
            <w:u w:val="single"/>
          </w:rPr>
          <w:t>Get license for Document .Net.</w:t>
        </w:r>
      </w:hyperlink>
    </w:p>
    <w:sectPr>
      <w:pgSz w:h="15840" w:orient="portrait" w:w="12240"/>
      <w:pgMar w:bottom="567" w:footer="0" w:gutter="0" w:header="0" w:left="1134" w:right="1134" w:top="567"/>
      <w:cols w:equalWidth="1" w:num="1" w:space="708" w:sep="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ettings>
</file>

<file path=word/_rels/document.xml.rels>&#65279;<?xml version="1.0" encoding="utf-8"?><Relationships xmlns="http://schemas.openxmlformats.org/package/2006/relationships"><Relationship Type="http://schemas.openxmlformats.org/officeDocument/2006/relationships/hyperlink" Target="http://www.sautinsoft.com/products/document/order.php" TargetMode="External" Id="Rd7a5e2c122224984" /><Relationship Type="http://schemas.openxmlformats.org/officeDocument/2006/relationships/settings" Target="settings.xml" Id="Rd8fca573674d45a8" /></Relationships>
</file>