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600"/></w:pPr></w:p><w:p><w:pPr><w:spacing w:after="200"/><w:jc w:val="center"/></w:pPr><w:r><w:rPr><w:rFonts w:ascii="SimHei" w:cs="SimHei" w:eastAsia="SimHei" w:hAnsi="SimHei"/><w:b/><w:bCs/><w:color w:val="1A237E"/><w:sz w:val="52"/><w:szCs w:val="52"/></w:rPr><w:t xml:space="preserve">论文综述文献整理</w:t></w:r></w:p><w:p><w:pPr><w:spacing w:after="100"/><w:jc w:val="center"/></w:pPr><w:r><w:rPr><w:rFonts w:ascii="FangSong" w:cs="FangSong" w:eastAsia="FangSong" w:hAnsi="FangSong"/><w:color w:val="666666"/><w:sz w:val="28"/><w:szCs w:val="28"/></w:rPr><w:t xml:space="preserve">基于四步矩阵法</w:t></w:r></w:p><w:p><w:pPr><w:spacing w:after="600"/><w:jc w:val="center"/></w:pPr><w:r><w:rPr><w:color w:val="CCCCCC"/><w:sz w:val="20"/><w:szCs w:val="20"/></w:rPr><w:t xml:space="preserve">────────────────────</w:t></w:r></w:p><w:p><w:pPr><w:spacing w:after="120"/><w:jc w:val="center"/></w:pPr><w:r><w:rPr><w:rFonts w:ascii="SimSun" w:cs="SimSun" w:eastAsia="SimSun" w:hAnsi="SimSun"/><w:color w:val="333333"/><w:sz w:val="24"/><w:szCs w:val="24"/></w:rPr><w:t xml:space="preserve">论文题目：木刻版画教学中创作的随机性对初中生创作焦虑与审美认知的调节研究</w:t></w:r></w:p><w:p><w:pPr><w:spacing w:after="120"/><w:jc w:val="center"/></w:pPr><w:r><w:rPr><w:rFonts w:ascii="SimSun" w:cs="SimSun" w:eastAsia="SimSun" w:hAnsi="SimSun"/><w:color w:val="666666"/><w:sz w:val="22"/><w:szCs w:val="22"/></w:rPr><w:t xml:space="preserve">研究方法：教育行动研究（跨群体迭代、回溯性个案）</w:t></w:r></w:p><w:p><w:pPr><w:spacing w:after="120"/><w:jc w:val="center"/></w:pPr><w:r><w:rPr><w:rFonts w:ascii="SimSun" w:cs="SimSun" w:eastAsia="SimSun" w:hAnsi="SimSun"/><w:color w:val="666666"/><w:sz w:val="22"/><w:szCs w:val="22"/></w:rPr><w:t xml:space="preserve">当前阶段：文献综述与理论依据梳理</w:t></w:r></w:p><w:p><w:pPr><w:spacing w:after="200" w:before="400"/><w:jc w:val="center"/></w:pPr><w:r><w:rPr><w:rFonts w:ascii="SimSun" w:cs="SimSun" w:eastAsia="SimSun" w:hAnsi="SimSun"/><w:color w:val="666666"/><w:sz w:val="20"/><w:szCs w:val="20"/></w:rPr><w:t xml:space="preserve">生成日期：2026/8/8</w:t></w:r></w:p><w:p><w:pPr><w:spacing w:after="100"/><w:jc w:val="center"/></w:pPr><w:r><w:rPr><w:rFonts w:ascii="FangSong" w:cs="FangSong" w:eastAsia="FangSong" w:hAnsi="FangSong"/><w:i/><w:iCs/><w:color w:val="666666"/><w:sz w:val="18"/><w:szCs w:val="18"/></w:rPr><w:t xml:space="preserve">整理方法：四步矩阵法（GB/T 7714-2015参考文献著录）</w:t></w:r></w:p><w:p><w:r><w:br w:type="page"/></w:r></w:p><w:p><w:pPr><w:spacing w:after="300"/><w:jc w:val="center"/></w:pPr><w:r><w:rPr><w:rFonts w:ascii="SimHei" w:cs="SimHei" w:eastAsia="SimHei" w:hAnsi="SimHei"/><w:b/><w:bCs/><w:color w:val="1A237E"/><w:sz w:val="36"/><w:szCs w:val="36"/></w:rPr><w:t xml:space="preserve">目  录</w:t></w:r></w:p><w:p><w:pPr><w:spacing w:after="200"/><w:jc w:val="center"/></w:pPr><w:r><w:rPr><w:color w:val="CCCCCC"/><w:sz w:val="16"/><w:szCs w:val="16"/></w:rPr><w:t xml:space="preserve">───────────────────────────</w:t></w:r></w:p><w:p><w:pPr><w:spacing w:after="60" w:before="100"/></w:pPr><w:r><w:rPr><w:rFonts w:ascii="SimHei" w:cs="SimHei" w:eastAsia="SimHei" w:hAnsi="SimHei"/><w:b/><w:bCs/><w:color w:val="283593"/><w:sz w:val="22"/><w:szCs w:val="22"/></w:rPr><w:t xml:space="preserve">文献 01</w:t></w:r><w:r><w:rPr><w:sz w:val="22"/><w:szCs w:val="22"/></w:rPr><w:t xml:space="preserve">    </w:t></w:r><w:r><w:rPr><w:rFonts w:ascii="SimSun" w:cs="SimSun" w:eastAsia="SimSun" w:hAnsi="SimSun"/><w:color w:val="333333"/><w:sz w:val="20"/><w:szCs w:val="20"/></w:rPr><w:t xml:space="preserve">（GB/T 7714-2015）】
[1] DEWEY J. Art as Experience[M…</w:t></w:r></w:p><w:p><w:r><w:br w:type="page"/></w:r></w:p><w:p><w:pPr><w:spacing w:after="200" w:before="400"/></w:pPr><w:r><w:rPr><w:color w:val="CCCCCC"/><w:sz w:val="10"/><w:szCs w:val="10"/></w:rPr><w:t xml:space="preserve">━━━━━━━━━━━━━━━━━━━━━━━━━━━━━━━━━━━━━━━━━━━━━━━━━━</w:t></w:r></w:p><w:p><w:pPr><w:spacing w:after="200"/></w:pPr><w:r><w:rPr><w:rFonts w:ascii="SimHei" w:cs="SimHei" w:eastAsia="SimHei" w:hAnsi="SimHei"/><w:b/><w:bCs/><w:color w:val="1A237E"/><w:sz w:val="32"/><w:szCs w:val="32"/></w:rPr><w:t xml:space="preserve">文献 01</w:t></w:r></w:p><w:p><w:pPr><w:pBdr><w:bottom w:val="single" w:color="2E7D32" w:sz="1" w:space="4"/></w:pBdr><w:spacing w:after="120" w:before="240"/></w:pPr><w:r><w:rPr><w:rFonts w:ascii="SimHei" w:cs="SimHei" w:eastAsia="SimHei" w:hAnsi="SimHei"/><w:b/><w:bCs/><w:color w:val="2E7D32"/><w:sz w:val="22"/><w:szCs w:val="22"/></w:rPr><w:t xml:space="preserve">▎1. 标准参考文献著录（GB/T 7714-2015）</w:t></w:r></w:p><w:p><w:pPr><w:pBdr><w:left w:val="single" w:color="2E7D32" w:sz="3" w:space="6"/></w:pBdr><w:shd w:color="F5F5F5" w:val="solid"/><w:spacing w:after="60" w:before="60"/><w:ind w:left="200"/></w:pPr><w:r><w:rPr><w:rFonts w:ascii="SimSun" w:cs="SimSun" w:eastAsia="SimSun" w:hAnsi="SimSun"/><w:color w:val="333333"/><w:sz w:val="20"/><w:szCs w:val="20"/></w:rPr><w:t xml:space="preserve">（GB/T 7714-2015）】
[1] DEWEY J. Art as Experience[M]. New York: Minton, Balch &amp; Company, 1934: 35-57.</w:t></w:r></w:p><w:p><w:pPr><w:pBdr><w:bottom w:val="single" w:color="E65100" w:sz="1" w:space="4"/></w:pBdr><w:spacing w:after="120" w:before="240"/></w:pPr><w:r><w:rPr><w:rFonts w:ascii="SimHei" w:cs="SimHei" w:eastAsia="SimHei" w:hAnsi="SimHei"/><w:b/><w:bCs/><w:color w:val="E65100"/><w:sz w:val="22"/><w:szCs w:val="22"/></w:rPr><w:t xml:space="preserve">▎2. 论文靶向核心观点提炼</w:t></w:r></w:p><0/><w:p><w:pPr><w:pBdr><w:bottom w:val="single" w:color="1565C0" w:sz="1" w:space="4"/></w:pBdr><w:spacing w:after="120" w:before="240"/></w:pPr><w:r><w:rPr><w:rFonts w:ascii="SimHei" w:cs="SimHei" w:eastAsia="SimHei" w:hAnsi="SimHei"/><w:b/><w:bCs/><w:color w:val="1565C0"/><w:sz w:val="22"/><w:szCs w:val="22"/></w:rPr><w:t xml:space="preserve">▎3. 可直接入文的经典金句（需带原页码）</w:t></w:r></w:p><0/><w:p><w:pPr><w:pBdr><w:bottom w:val="single" w:color="6A1B9A" w:sz="1" w:space="4"/></w:pBdr><w:spacing w:after="120" w:before="240"/></w:pPr><w:r><w:rPr><w:rFonts w:ascii="SimHei" w:cs="SimHei" w:eastAsia="SimHei" w:hAnsi="SimHei"/><w:b/><w:bCs/><w:color w:val="6A1B9A"/><w:sz w:val="22"/><w:szCs w:val="22"/></w:rPr><w:t xml:space="preserve">▎4. 本文对我的论文启示与应用场景</w:t></w:r></w:p><0/><w:p><w:r><w:br w:type="page"/></w:r></w:p><w:p><w:pPr><w:spacing w:after="200"/></w:pPr><w:r><w:rPr><w:rFonts w:ascii="SimHei" w:cs="SimHei" w:eastAsia="SimHei" w:hAnsi="SimHei"/><w:b/><w:bCs/><w:color w:val="1A237E"/><w:sz w:val="28"/><w:szCs w:val="28"/></w:rPr><w:t xml:space="preserve">附录：整理方法说明</w:t></w:r></w:p><w:p><w:pPr><w:spacing w:after="100"/></w:pPr><w:r><w:rPr><w:rFonts w:ascii="SimSun" w:cs="SimSun" w:eastAsia="SimSun" w:hAnsi="SimSun"/><w:sz w:val="20"/><w:szCs w:val="20"/></w:rPr><w:t xml:space="preserve">本文档采用&quot;四步矩阵法&quot;整理，包含以下四个板块：</w:t></w:r></w:p><w:p><w:pPr><w:spacing w:after="80"/></w:pPr><w:r><w:rPr><w:rFonts w:ascii="SimSun" w:cs="SimSun" w:eastAsia="SimSun" w:hAnsi="SimSun"/><w:sz w:val="20"/><w:szCs w:val="20"/></w:rPr><w:t xml:space="preserve">1. 标准参考文献著录（GB/T 7714-2015）——严格对照国家标准</w:t></w:r></w:p><w:p><w:pPr><w:spacing w:after="80"/></w:pPr><w:r><w:rPr><w:rFonts w:ascii="SimSun" w:cs="SimSun" w:eastAsia="SimSun" w:hAnsi="SimSun"/><w:sz w:val="20"/><w:szCs w:val="20"/></w:rPr><w:t xml:space="preserve">2. 论文靶向核心观点提炼——吸铁石式聚焦4个学术关键词组</w:t></w:r></w:p><w:p><w:pPr><w:spacing w:after="80"/></w:pPr><w:r><w:rPr><w:rFonts w:ascii="SimSun" w:cs="SimSun" w:eastAsia="SimSun" w:hAnsi="SimSun"/><w:sz w:val="20"/><w:szCs w:val="20"/></w:rPr><w:t xml:space="preserve">3. 可直接入文的经典金句——带真实页码的学术原文摘录</w:t></w:r></w:p><w:p><w:pPr><w:spacing w:after="80"/></w:pPr><w:r><w:rPr><w:rFonts w:ascii="SimSun" w:cs="SimSun" w:eastAsia="SimSun" w:hAnsi="SimSun"/><w:sz w:val="20"/><w:szCs w:val="20"/></w:rPr><w:t xml:space="preserve">4. 论文启示与应用场景——定制化绑定理论与教学实践</w:t></w:r></w:p><w:p><w:pPr><w:spacing w:before="200"/></w:pPr><w:r><w:rPr><w:rFonts w:ascii="KaiTi" w:cs="KaiTi" w:eastAsia="KaiTi" w:hAnsi="KaiTi"/><w:i/><w:iCs/><w:color w:val="666666"/><w:sz w:val="18"/><w:szCs w:val="18"/></w:rPr><w:t xml:space="preserve">⚠️ 学术诚信提示：所有引用需在正式论文中再次核实原文。本文档为文献笔记性质，仅供撰写论文时参考。</w:t></w:r></w:p><w:sectPr><w:footerReference w:type="default" r:id="rId7"/><w:pgSz w:w="11906" w:h="16838" w:orient="portrait"/><w:pgMar w:top="1440" w:right="1727" w:bottom="1440" w:left="1727"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66666"/>
        <w:sz w:val="18"/>
        <w:szCs w:val="18"/>
      </w:rPr>
      <w:t xml:space="preserve">论文综述文献整理 · 四步矩阵法 · 仅供学术研究使用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论文综述文献整理 - 四步矩阵法</dc:title>
  <dc:creator>Un-named</dc:creator>
  <dc:description>论文题目：木刻版画教学中创作的随机性对初中生创作焦虑与审美认知的调节研究</dc:description>
  <cp:lastModifiedBy>Un-named</cp:lastModifiedBy>
  <cp:revision>1</cp:revision>
  <dcterms:created xsi:type="dcterms:W3CDTF">2026-08-08T15:34:20.530Z</dcterms:created>
  <dcterms:modified xsi:type="dcterms:W3CDTF">2026-08-08T15:34:20.530Z</dcterms:modified>
</cp:coreProperties>
</file>

<file path=docProps/custom.xml><?xml version="1.0" encoding="utf-8"?>
<Properties xmlns="http://schemas.openxmlformats.org/officeDocument/2006/custom-properties" xmlns:vt="http://schemas.openxmlformats.org/officeDocument/2006/docPropsVTypes"/>
</file>