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B13E50">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B13E50">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B13E50">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B13E50">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B13E50">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B13E50">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B13E50">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B13E50">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B13E50">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B13E50">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B13E50">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B13E50">
        <w:rPr>
          <w:noProof/>
          <w:lang w:val="en-US"/>
        </w:rPr>
        <w:t>13</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B13E50">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B13E50">
        <w:rPr>
          <w:noProof/>
          <w:lang w:val="en-US"/>
        </w:rPr>
        <w:t>15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B13E50">
        <w:rPr>
          <w:noProof/>
          <w:lang w:val="en-US"/>
        </w:rPr>
        <w:t>15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B13E50">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Pr>
          <w:noProof/>
        </w:rPr>
        <w:t>7.3.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_Toc97327574 \h </w:instrText>
      </w:r>
      <w:r>
        <w:rPr>
          <w:noProof/>
        </w:rPr>
      </w:r>
      <w:r>
        <w:rPr>
          <w:noProof/>
        </w:rPr>
        <w:fldChar w:fldCharType="separate"/>
      </w:r>
      <w:r w:rsidR="00B13E50">
        <w:rPr>
          <w:noProof/>
        </w:rPr>
        <w:t>17</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1C05E9" w:rsidRDefault="001C05E9" w:rsidP="001944A7">
                            <w:pPr>
                              <w:spacing w:after="0"/>
                              <w:rPr>
                                <w:sz w:val="24"/>
                                <w:szCs w:val="24"/>
                                <w:lang w:val="en-US"/>
                              </w:rPr>
                            </w:pPr>
                            <w:r>
                              <w:rPr>
                                <w:sz w:val="24"/>
                                <w:szCs w:val="24"/>
                                <w:lang w:val="en-US"/>
                              </w:rPr>
                              <w:t>Written by Adrien Gaudard in March 2015,</w:t>
                            </w:r>
                          </w:p>
                          <w:p w:rsidR="001C05E9" w:rsidRDefault="001C05E9" w:rsidP="001944A7">
                            <w:pPr>
                              <w:spacing w:after="0"/>
                              <w:rPr>
                                <w:sz w:val="24"/>
                                <w:szCs w:val="24"/>
                                <w:lang w:val="en-US"/>
                              </w:rPr>
                            </w:pPr>
                            <w:r>
                              <w:rPr>
                                <w:sz w:val="24"/>
                                <w:szCs w:val="24"/>
                                <w:lang w:val="en-US"/>
                              </w:rPr>
                              <w:t>adapted to version 2.0 by Fabian Bärenbold in September 2018 and to version 3.0 in January 2021</w:t>
                            </w:r>
                          </w:p>
                          <w:p w:rsidR="001C05E9" w:rsidRPr="001944A7" w:rsidRDefault="001C05E9"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1C05E9" w:rsidRDefault="001C05E9" w:rsidP="001944A7">
                      <w:pPr>
                        <w:spacing w:after="0"/>
                        <w:rPr>
                          <w:sz w:val="24"/>
                          <w:szCs w:val="24"/>
                          <w:lang w:val="en-US"/>
                        </w:rPr>
                      </w:pPr>
                      <w:r>
                        <w:rPr>
                          <w:sz w:val="24"/>
                          <w:szCs w:val="24"/>
                          <w:lang w:val="en-US"/>
                        </w:rPr>
                        <w:t>Written by Adrien Gaudard in March 2015,</w:t>
                      </w:r>
                    </w:p>
                    <w:p w:rsidR="001C05E9" w:rsidRDefault="001C05E9" w:rsidP="001944A7">
                      <w:pPr>
                        <w:spacing w:after="0"/>
                        <w:rPr>
                          <w:sz w:val="24"/>
                          <w:szCs w:val="24"/>
                          <w:lang w:val="en-US"/>
                        </w:rPr>
                      </w:pPr>
                      <w:r>
                        <w:rPr>
                          <w:sz w:val="24"/>
                          <w:szCs w:val="24"/>
                          <w:lang w:val="en-US"/>
                        </w:rPr>
                        <w:t>adapted to version 2.0 by Fabian Bärenbold in September 2018 and to version 3.0 in January 2021</w:t>
                      </w:r>
                    </w:p>
                    <w:p w:rsidR="001C05E9" w:rsidRPr="001944A7" w:rsidRDefault="001C05E9"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B13E50">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 fix)</w:t>
      </w:r>
    </w:p>
    <w:p w:rsidR="00154948" w:rsidRDefault="009E4E27" w:rsidP="002C17B3">
      <w:pPr>
        <w:pStyle w:val="ListParagraph"/>
        <w:numPr>
          <w:ilvl w:val="0"/>
          <w:numId w:val="20"/>
        </w:numPr>
        <w:rPr>
          <w:sz w:val="24"/>
          <w:szCs w:val="24"/>
          <w:lang w:val="en-US"/>
        </w:rPr>
      </w:pPr>
      <w:r>
        <w:rPr>
          <w:sz w:val="24"/>
          <w:szCs w:val="24"/>
          <w:lang w:val="en-US"/>
        </w:rPr>
        <w:t>Possibility to define the initial seiche energy (instead of just assuming 0). Together with the initial condition file, this gives the opportunity to restart/continue a simulation without using the snapshot.</w:t>
      </w:r>
      <w:r w:rsidR="00154948">
        <w:rPr>
          <w:sz w:val="24"/>
          <w:szCs w:val="24"/>
          <w:lang w:val="en-US"/>
        </w:rPr>
        <w:t xml:space="preserve"> </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lastRenderedPageBreak/>
        <w:t>Elimination of a bug: the part of solar radiation which goes into the sediment is added back to the water column instead of disappearing</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InitializeSeicheEnergy</w:t>
      </w:r>
      <w:r>
        <w:rPr>
          <w:sz w:val="24"/>
          <w:szCs w:val="24"/>
          <w:lang w:val="en-US"/>
        </w:rPr>
        <w:t>” in ModelConfig and parameter “</w:t>
      </w:r>
      <w:r w:rsidRPr="00240E46">
        <w:rPr>
          <w:sz w:val="24"/>
          <w:szCs w:val="24"/>
          <w:lang w:val="en-US"/>
        </w:rPr>
        <w:t>seiche_ini</w:t>
      </w:r>
      <w:r>
        <w:rPr>
          <w:sz w:val="24"/>
          <w:szCs w:val="24"/>
          <w:lang w:val="en-US"/>
        </w:rPr>
        <w:t>” in ModelParameters</w:t>
      </w:r>
    </w:p>
    <w:p w:rsidR="005260E0" w:rsidRPr="00240E46" w:rsidRDefault="005260E0" w:rsidP="005260E0">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3C24F0" w:rsidP="003C24F0">
      <w:pPr>
        <w:rPr>
          <w:sz w:val="24"/>
          <w:szCs w:val="24"/>
          <w:lang w:val="en-US"/>
        </w:rPr>
      </w:pPr>
      <w:r w:rsidRPr="003C24F0">
        <w:rPr>
          <w:sz w:val="24"/>
          <w:szCs w:val="24"/>
          <w:lang w:val="en-US"/>
        </w:rPr>
        <w:t>These hints</w:t>
      </w:r>
    </w:p>
    <w:p w:rsidR="003C24F0" w:rsidRPr="003C24F0" w:rsidRDefault="00C30739" w:rsidP="003C24F0">
      <w:pPr>
        <w:pStyle w:val="ListParagraph"/>
        <w:numPr>
          <w:ilvl w:val="0"/>
          <w:numId w:val="20"/>
        </w:numPr>
        <w:rPr>
          <w:sz w:val="24"/>
          <w:szCs w:val="24"/>
          <w:lang w:val="en-US"/>
        </w:rPr>
      </w:pPr>
      <w:r>
        <w:rPr>
          <w:sz w:val="24"/>
          <w:szCs w:val="24"/>
          <w:lang w:val="en-US"/>
        </w:rPr>
        <w:t>Generally use a timestep &lt;= 5 minutes (300 seconds) because t</w:t>
      </w:r>
      <w:r w:rsidR="003C24F0" w:rsidRPr="003C24F0">
        <w:rPr>
          <w:sz w:val="24"/>
          <w:szCs w:val="24"/>
          <w:lang w:val="en-US"/>
        </w:rPr>
        <w:t>he k-epsilon turbulence model requires a very small timestep.</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PressureGradient=2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7327564"/>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13E50" w:rsidRPr="00B13E50">
        <w:rPr>
          <w:szCs w:val="22"/>
          <w:lang w:val="en-US"/>
        </w:rPr>
        <w:t xml:space="preserve">Table </w:t>
      </w:r>
      <w:r w:rsidR="00B13E50" w:rsidRPr="00B13E50">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B13E50" w:rsidRPr="00B13E50">
        <w:rPr>
          <w:szCs w:val="22"/>
          <w:lang w:val="en-US"/>
        </w:rPr>
        <w:t xml:space="preserve">Table </w:t>
      </w:r>
      <w:r w:rsidR="00B13E50" w:rsidRPr="00B13E50">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 xml:space="preserve">Path to file / </w:t>
            </w:r>
            <w:r w:rsidR="00926E59">
              <w:rPr>
                <w:sz w:val="24"/>
                <w:szCs w:val="24"/>
                <w:lang w:val="en-US"/>
              </w:rPr>
              <w:lastRenderedPageBreak/>
              <w:t>vector of depths / output depth resolution</w:t>
            </w:r>
          </w:p>
        </w:tc>
        <w:tc>
          <w:tcPr>
            <w:tcW w:w="992" w:type="dxa"/>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1C05E9"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1C05E9"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1C05E9"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5260E0" w:rsidRPr="005260E0" w:rsidTr="00DF25C9">
        <w:trPr>
          <w:trHeight w:val="284"/>
        </w:trPr>
        <w:tc>
          <w:tcPr>
            <w:tcW w:w="2835" w:type="dxa"/>
          </w:tcPr>
          <w:p w:rsidR="005260E0" w:rsidRDefault="005260E0" w:rsidP="00192AE4">
            <w:pPr>
              <w:spacing w:after="0"/>
              <w:rPr>
                <w:sz w:val="24"/>
                <w:szCs w:val="24"/>
              </w:rPr>
            </w:pPr>
            <w:r>
              <w:rPr>
                <w:sz w:val="24"/>
                <w:szCs w:val="24"/>
              </w:rPr>
              <w:t>InitializeSeicheEnergy</w:t>
            </w:r>
          </w:p>
        </w:tc>
        <w:tc>
          <w:tcPr>
            <w:tcW w:w="5387" w:type="dxa"/>
          </w:tcPr>
          <w:p w:rsidR="005260E0" w:rsidRPr="003B2E3F" w:rsidRDefault="005260E0" w:rsidP="00CD2454">
            <w:pPr>
              <w:spacing w:after="0"/>
              <w:rPr>
                <w:sz w:val="24"/>
                <w:szCs w:val="24"/>
                <w:lang w:val="en-US"/>
              </w:rPr>
            </w:pPr>
            <w:r>
              <w:rPr>
                <w:sz w:val="24"/>
                <w:szCs w:val="24"/>
                <w:lang w:val="en-US"/>
              </w:rPr>
              <w:t>True: value given in config file is used as initial seiche energy; False: Seiche energy is initialized with 0</w:t>
            </w:r>
          </w:p>
        </w:tc>
        <w:tc>
          <w:tcPr>
            <w:tcW w:w="992" w:type="dxa"/>
          </w:tcPr>
          <w:p w:rsidR="005260E0" w:rsidRDefault="005260E0" w:rsidP="00BE0EBC">
            <w:pPr>
              <w:spacing w:after="0"/>
              <w:rPr>
                <w:sz w:val="24"/>
                <w:szCs w:val="24"/>
                <w:lang w:val="en-US"/>
              </w:rPr>
            </w:pPr>
            <w:r>
              <w:rPr>
                <w:sz w:val="24"/>
                <w:szCs w:val="24"/>
                <w:lang w:val="en-US"/>
              </w:rPr>
              <w:t>false</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1C05E9"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1C05E9"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1C05E9"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w:t>
            </w:r>
            <w:r w:rsidR="00F36893">
              <w:rPr>
                <w:sz w:val="24"/>
                <w:szCs w:val="24"/>
                <w:lang w:val="en-US"/>
              </w:rPr>
              <w:lastRenderedPageBreak/>
              <w:t xml:space="preserve">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lastRenderedPageBreak/>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1C05E9"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1C05E9"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1C05E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1C05E9"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bookmarkStart w:id="8" w:name="_GoBack"/>
            <w:bookmarkEnd w:id="8"/>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9030F2" w:rsidP="00B47796">
            <w:pPr>
              <w:spacing w:after="0"/>
              <w:rPr>
                <w:sz w:val="24"/>
                <w:szCs w:val="24"/>
                <w:lang w:val="en-US"/>
              </w:rPr>
            </w:pPr>
            <w:r>
              <w:rPr>
                <w:sz w:val="24"/>
                <w:szCs w:val="24"/>
                <w:lang w:val="en-US"/>
              </w:rPr>
              <w:t xml:space="preserve">Initial seiche energy [J] (only used if </w:t>
            </w:r>
            <w:r>
              <w:rPr>
                <w:sz w:val="24"/>
                <w:szCs w:val="24"/>
                <w:lang w:val="en-US"/>
              </w:rPr>
              <w:lastRenderedPageBreak/>
              <w:t>InitializeSeicheEnergy=True)</w:t>
            </w:r>
          </w:p>
        </w:tc>
        <w:tc>
          <w:tcPr>
            <w:tcW w:w="992" w:type="dxa"/>
          </w:tcPr>
          <w:p w:rsidR="009030F2" w:rsidRDefault="009030F2" w:rsidP="00F36893">
            <w:pPr>
              <w:spacing w:after="0"/>
              <w:rPr>
                <w:sz w:val="24"/>
                <w:szCs w:val="24"/>
                <w:lang w:val="en-US"/>
              </w:rPr>
            </w:pPr>
            <w:r>
              <w:rPr>
                <w:sz w:val="24"/>
                <w:szCs w:val="24"/>
                <w:lang w:val="en-US"/>
              </w:rPr>
              <w:lastRenderedPageBreak/>
              <w:t>1e8-</w:t>
            </w:r>
            <w:r>
              <w:rPr>
                <w:sz w:val="24"/>
                <w:szCs w:val="24"/>
                <w:lang w:val="en-US"/>
              </w:rPr>
              <w:lastRenderedPageBreak/>
              <w:t>1e10</w:t>
            </w: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lastRenderedPageBreak/>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B13E50">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lastRenderedPageBreak/>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1C05E9" w:rsidRPr="00942B91" w:rsidRDefault="001C05E9">
                            <w:pPr>
                              <w:rPr>
                                <w:lang w:val="en-US"/>
                              </w:rPr>
                            </w:pPr>
                            <w:r w:rsidRPr="00942B91">
                              <w:rPr>
                                <w:lang w:val="en-US"/>
                              </w:rPr>
                              <w:t>z [m]</w:t>
                            </w:r>
                            <w:r w:rsidRPr="00942B91">
                              <w:rPr>
                                <w:lang w:val="en-US"/>
                              </w:rPr>
                              <w:tab/>
                              <w:t>Area [m2]</w:t>
                            </w:r>
                          </w:p>
                          <w:p w:rsidR="001C05E9" w:rsidRPr="006D2D46" w:rsidRDefault="001C05E9" w:rsidP="006D2D46">
                            <w:pPr>
                              <w:rPr>
                                <w:lang w:val="en-US"/>
                              </w:rPr>
                            </w:pPr>
                            <w:r w:rsidRPr="006D2D46">
                              <w:rPr>
                                <w:lang w:val="en-US"/>
                              </w:rPr>
                              <w:t>0</w:t>
                            </w:r>
                            <w:r w:rsidRPr="006D2D46">
                              <w:rPr>
                                <w:lang w:val="en-US"/>
                              </w:rPr>
                              <w:tab/>
                            </w:r>
                            <w:r>
                              <w:rPr>
                                <w:lang w:val="en-US"/>
                              </w:rPr>
                              <w:t>50</w:t>
                            </w:r>
                            <w:r w:rsidRPr="006D2D46">
                              <w:rPr>
                                <w:lang w:val="en-US"/>
                              </w:rPr>
                              <w:t>0000</w:t>
                            </w:r>
                          </w:p>
                          <w:p w:rsidR="001C05E9" w:rsidRPr="006D2D46" w:rsidRDefault="001C05E9" w:rsidP="006D2D46">
                            <w:pPr>
                              <w:rPr>
                                <w:lang w:val="en-US"/>
                              </w:rPr>
                            </w:pPr>
                            <w:r w:rsidRPr="006D2D46">
                              <w:rPr>
                                <w:lang w:val="en-US"/>
                              </w:rPr>
                              <w:t>-5</w:t>
                            </w:r>
                            <w:r w:rsidRPr="006D2D46">
                              <w:rPr>
                                <w:lang w:val="en-US"/>
                              </w:rPr>
                              <w:tab/>
                            </w:r>
                            <w:r>
                              <w:rPr>
                                <w:lang w:val="en-US"/>
                              </w:rPr>
                              <w:t>45</w:t>
                            </w:r>
                            <w:r w:rsidRPr="006D2D46">
                              <w:rPr>
                                <w:lang w:val="en-US"/>
                              </w:rPr>
                              <w:t>0000</w:t>
                            </w:r>
                          </w:p>
                          <w:p w:rsidR="001C05E9" w:rsidRPr="006D2D46" w:rsidRDefault="001C05E9" w:rsidP="006D2D46">
                            <w:pPr>
                              <w:rPr>
                                <w:lang w:val="en-US"/>
                              </w:rPr>
                            </w:pPr>
                            <w:r w:rsidRPr="006D2D46">
                              <w:rPr>
                                <w:lang w:val="en-US"/>
                              </w:rPr>
                              <w:t>-10</w:t>
                            </w:r>
                            <w:r w:rsidRPr="006D2D46">
                              <w:rPr>
                                <w:lang w:val="en-US"/>
                              </w:rPr>
                              <w:tab/>
                            </w:r>
                            <w:r>
                              <w:rPr>
                                <w:lang w:val="en-US"/>
                              </w:rPr>
                              <w:t>41</w:t>
                            </w:r>
                            <w:r w:rsidRPr="006D2D46">
                              <w:rPr>
                                <w:lang w:val="en-US"/>
                              </w:rPr>
                              <w:t>0000</w:t>
                            </w:r>
                          </w:p>
                          <w:p w:rsidR="001C05E9" w:rsidRPr="006D2D46" w:rsidRDefault="001C05E9" w:rsidP="006D2D46">
                            <w:pPr>
                              <w:rPr>
                                <w:lang w:val="en-US"/>
                              </w:rPr>
                            </w:pPr>
                            <w:r w:rsidRPr="006D2D46">
                              <w:rPr>
                                <w:lang w:val="en-US"/>
                              </w:rPr>
                              <w:t>-20</w:t>
                            </w:r>
                            <w:r w:rsidRPr="006D2D46">
                              <w:rPr>
                                <w:lang w:val="en-US"/>
                              </w:rPr>
                              <w:tab/>
                            </w:r>
                            <w:r>
                              <w:rPr>
                                <w:lang w:val="en-US"/>
                              </w:rPr>
                              <w:t>332</w:t>
                            </w:r>
                            <w:r w:rsidRPr="006D2D46">
                              <w:rPr>
                                <w:lang w:val="en-US"/>
                              </w:rPr>
                              <w:t>000</w:t>
                            </w:r>
                          </w:p>
                          <w:p w:rsidR="001C05E9" w:rsidRPr="006D2D46" w:rsidRDefault="001C05E9" w:rsidP="006D2D46">
                            <w:pPr>
                              <w:rPr>
                                <w:lang w:val="en-US"/>
                              </w:rPr>
                            </w:pPr>
                            <w:r w:rsidRPr="006D2D46">
                              <w:rPr>
                                <w:lang w:val="en-US"/>
                              </w:rPr>
                              <w:t>-40</w:t>
                            </w:r>
                            <w:r w:rsidRPr="006D2D46">
                              <w:rPr>
                                <w:lang w:val="en-US"/>
                              </w:rPr>
                              <w:tab/>
                            </w:r>
                            <w:r>
                              <w:rPr>
                                <w:lang w:val="en-US"/>
                              </w:rPr>
                              <w:t>175</w:t>
                            </w:r>
                            <w:r w:rsidRPr="006D2D46">
                              <w:rPr>
                                <w:lang w:val="en-US"/>
                              </w:rPr>
                              <w:t>000</w:t>
                            </w:r>
                          </w:p>
                          <w:p w:rsidR="001C05E9" w:rsidRPr="006D2D46" w:rsidRDefault="001C05E9" w:rsidP="006D2D46">
                            <w:pPr>
                              <w:rPr>
                                <w:lang w:val="en-US"/>
                              </w:rPr>
                            </w:pPr>
                            <w:r w:rsidRPr="006D2D46">
                              <w:rPr>
                                <w:lang w:val="en-US"/>
                              </w:rPr>
                              <w:t>-50</w:t>
                            </w:r>
                            <w:r w:rsidRPr="006D2D46">
                              <w:rPr>
                                <w:lang w:val="en-US"/>
                              </w:rPr>
                              <w:tab/>
                            </w:r>
                            <w:r>
                              <w:rPr>
                                <w:lang w:val="en-US"/>
                              </w:rPr>
                              <w:t>100</w:t>
                            </w:r>
                            <w:r w:rsidRPr="006D2D46">
                              <w:rPr>
                                <w:lang w:val="en-US"/>
                              </w:rPr>
                              <w:t>000</w:t>
                            </w:r>
                          </w:p>
                          <w:p w:rsidR="001C05E9" w:rsidRPr="006D2D46" w:rsidRDefault="001C05E9" w:rsidP="006D2D46">
                            <w:pPr>
                              <w:rPr>
                                <w:lang w:val="en-US"/>
                              </w:rPr>
                            </w:pPr>
                            <w:r w:rsidRPr="006D2D46">
                              <w:rPr>
                                <w:lang w:val="en-US"/>
                              </w:rPr>
                              <w:t>-60</w:t>
                            </w:r>
                            <w:r w:rsidRPr="006D2D46">
                              <w:rPr>
                                <w:lang w:val="en-US"/>
                              </w:rPr>
                              <w:tab/>
                            </w:r>
                            <w:r>
                              <w:rPr>
                                <w:lang w:val="en-US"/>
                              </w:rPr>
                              <w:t>0</w:t>
                            </w:r>
                          </w:p>
                          <w:p w:rsidR="001C05E9" w:rsidRPr="006D2D46" w:rsidRDefault="001C05E9"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1C05E9" w:rsidRPr="00942B91" w:rsidRDefault="001C05E9">
                      <w:pPr>
                        <w:rPr>
                          <w:lang w:val="en-US"/>
                        </w:rPr>
                      </w:pPr>
                      <w:r w:rsidRPr="00942B91">
                        <w:rPr>
                          <w:lang w:val="en-US"/>
                        </w:rPr>
                        <w:t>z [m]</w:t>
                      </w:r>
                      <w:r w:rsidRPr="00942B91">
                        <w:rPr>
                          <w:lang w:val="en-US"/>
                        </w:rPr>
                        <w:tab/>
                        <w:t>Area [m2]</w:t>
                      </w:r>
                    </w:p>
                    <w:p w:rsidR="001C05E9" w:rsidRPr="006D2D46" w:rsidRDefault="001C05E9" w:rsidP="006D2D46">
                      <w:pPr>
                        <w:rPr>
                          <w:lang w:val="en-US"/>
                        </w:rPr>
                      </w:pPr>
                      <w:r w:rsidRPr="006D2D46">
                        <w:rPr>
                          <w:lang w:val="en-US"/>
                        </w:rPr>
                        <w:t>0</w:t>
                      </w:r>
                      <w:r w:rsidRPr="006D2D46">
                        <w:rPr>
                          <w:lang w:val="en-US"/>
                        </w:rPr>
                        <w:tab/>
                      </w:r>
                      <w:r>
                        <w:rPr>
                          <w:lang w:val="en-US"/>
                        </w:rPr>
                        <w:t>50</w:t>
                      </w:r>
                      <w:r w:rsidRPr="006D2D46">
                        <w:rPr>
                          <w:lang w:val="en-US"/>
                        </w:rPr>
                        <w:t>0000</w:t>
                      </w:r>
                    </w:p>
                    <w:p w:rsidR="001C05E9" w:rsidRPr="006D2D46" w:rsidRDefault="001C05E9" w:rsidP="006D2D46">
                      <w:pPr>
                        <w:rPr>
                          <w:lang w:val="en-US"/>
                        </w:rPr>
                      </w:pPr>
                      <w:r w:rsidRPr="006D2D46">
                        <w:rPr>
                          <w:lang w:val="en-US"/>
                        </w:rPr>
                        <w:t>-5</w:t>
                      </w:r>
                      <w:r w:rsidRPr="006D2D46">
                        <w:rPr>
                          <w:lang w:val="en-US"/>
                        </w:rPr>
                        <w:tab/>
                      </w:r>
                      <w:r>
                        <w:rPr>
                          <w:lang w:val="en-US"/>
                        </w:rPr>
                        <w:t>45</w:t>
                      </w:r>
                      <w:r w:rsidRPr="006D2D46">
                        <w:rPr>
                          <w:lang w:val="en-US"/>
                        </w:rPr>
                        <w:t>0000</w:t>
                      </w:r>
                    </w:p>
                    <w:p w:rsidR="001C05E9" w:rsidRPr="006D2D46" w:rsidRDefault="001C05E9" w:rsidP="006D2D46">
                      <w:pPr>
                        <w:rPr>
                          <w:lang w:val="en-US"/>
                        </w:rPr>
                      </w:pPr>
                      <w:r w:rsidRPr="006D2D46">
                        <w:rPr>
                          <w:lang w:val="en-US"/>
                        </w:rPr>
                        <w:t>-10</w:t>
                      </w:r>
                      <w:r w:rsidRPr="006D2D46">
                        <w:rPr>
                          <w:lang w:val="en-US"/>
                        </w:rPr>
                        <w:tab/>
                      </w:r>
                      <w:r>
                        <w:rPr>
                          <w:lang w:val="en-US"/>
                        </w:rPr>
                        <w:t>41</w:t>
                      </w:r>
                      <w:r w:rsidRPr="006D2D46">
                        <w:rPr>
                          <w:lang w:val="en-US"/>
                        </w:rPr>
                        <w:t>0000</w:t>
                      </w:r>
                    </w:p>
                    <w:p w:rsidR="001C05E9" w:rsidRPr="006D2D46" w:rsidRDefault="001C05E9" w:rsidP="006D2D46">
                      <w:pPr>
                        <w:rPr>
                          <w:lang w:val="en-US"/>
                        </w:rPr>
                      </w:pPr>
                      <w:r w:rsidRPr="006D2D46">
                        <w:rPr>
                          <w:lang w:val="en-US"/>
                        </w:rPr>
                        <w:t>-20</w:t>
                      </w:r>
                      <w:r w:rsidRPr="006D2D46">
                        <w:rPr>
                          <w:lang w:val="en-US"/>
                        </w:rPr>
                        <w:tab/>
                      </w:r>
                      <w:r>
                        <w:rPr>
                          <w:lang w:val="en-US"/>
                        </w:rPr>
                        <w:t>332</w:t>
                      </w:r>
                      <w:r w:rsidRPr="006D2D46">
                        <w:rPr>
                          <w:lang w:val="en-US"/>
                        </w:rPr>
                        <w:t>000</w:t>
                      </w:r>
                    </w:p>
                    <w:p w:rsidR="001C05E9" w:rsidRPr="006D2D46" w:rsidRDefault="001C05E9" w:rsidP="006D2D46">
                      <w:pPr>
                        <w:rPr>
                          <w:lang w:val="en-US"/>
                        </w:rPr>
                      </w:pPr>
                      <w:r w:rsidRPr="006D2D46">
                        <w:rPr>
                          <w:lang w:val="en-US"/>
                        </w:rPr>
                        <w:t>-40</w:t>
                      </w:r>
                      <w:r w:rsidRPr="006D2D46">
                        <w:rPr>
                          <w:lang w:val="en-US"/>
                        </w:rPr>
                        <w:tab/>
                      </w:r>
                      <w:r>
                        <w:rPr>
                          <w:lang w:val="en-US"/>
                        </w:rPr>
                        <w:t>175</w:t>
                      </w:r>
                      <w:r w:rsidRPr="006D2D46">
                        <w:rPr>
                          <w:lang w:val="en-US"/>
                        </w:rPr>
                        <w:t>000</w:t>
                      </w:r>
                    </w:p>
                    <w:p w:rsidR="001C05E9" w:rsidRPr="006D2D46" w:rsidRDefault="001C05E9" w:rsidP="006D2D46">
                      <w:pPr>
                        <w:rPr>
                          <w:lang w:val="en-US"/>
                        </w:rPr>
                      </w:pPr>
                      <w:r w:rsidRPr="006D2D46">
                        <w:rPr>
                          <w:lang w:val="en-US"/>
                        </w:rPr>
                        <w:t>-50</w:t>
                      </w:r>
                      <w:r w:rsidRPr="006D2D46">
                        <w:rPr>
                          <w:lang w:val="en-US"/>
                        </w:rPr>
                        <w:tab/>
                      </w:r>
                      <w:r>
                        <w:rPr>
                          <w:lang w:val="en-US"/>
                        </w:rPr>
                        <w:t>100</w:t>
                      </w:r>
                      <w:r w:rsidRPr="006D2D46">
                        <w:rPr>
                          <w:lang w:val="en-US"/>
                        </w:rPr>
                        <w:t>000</w:t>
                      </w:r>
                    </w:p>
                    <w:p w:rsidR="001C05E9" w:rsidRPr="006D2D46" w:rsidRDefault="001C05E9" w:rsidP="006D2D46">
                      <w:pPr>
                        <w:rPr>
                          <w:lang w:val="en-US"/>
                        </w:rPr>
                      </w:pPr>
                      <w:r w:rsidRPr="006D2D46">
                        <w:rPr>
                          <w:lang w:val="en-US"/>
                        </w:rPr>
                        <w:t>-60</w:t>
                      </w:r>
                      <w:r w:rsidRPr="006D2D46">
                        <w:rPr>
                          <w:lang w:val="en-US"/>
                        </w:rPr>
                        <w:tab/>
                      </w:r>
                      <w:r>
                        <w:rPr>
                          <w:lang w:val="en-US"/>
                        </w:rPr>
                        <w:t>0</w:t>
                      </w:r>
                    </w:p>
                    <w:p w:rsidR="001C05E9" w:rsidRPr="006D2D46" w:rsidRDefault="001C05E9"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lastRenderedPageBreak/>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1C05E9" w:rsidRPr="00F63302" w:rsidRDefault="001C05E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1C05E9" w:rsidRPr="00F63302" w:rsidRDefault="001C05E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1C05E9" w:rsidRPr="00F63302" w:rsidRDefault="001C05E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1C05E9" w:rsidRPr="00942B91" w:rsidRDefault="001C05E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1C05E9" w:rsidRPr="00F63302" w:rsidRDefault="001C05E9"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1C05E9" w:rsidRPr="00F63302" w:rsidRDefault="001C05E9"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1C05E9" w:rsidRPr="00F63302" w:rsidRDefault="001C05E9"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1C05E9" w:rsidRPr="00F63302" w:rsidRDefault="001C05E9"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1C05E9" w:rsidRPr="00942B91" w:rsidRDefault="001C05E9"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B13E50" w:rsidRPr="00B13E50">
        <w:rPr>
          <w:sz w:val="24"/>
          <w:szCs w:val="24"/>
          <w:lang w:val="en-US"/>
        </w:rPr>
        <w:t xml:space="preserve">Table </w:t>
      </w:r>
      <w:r w:rsidR="00B13E50" w:rsidRPr="00B13E50">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1C05E9"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B13E50">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lastRenderedPageBreak/>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1C05E9" w:rsidRPr="00A14B55" w:rsidRDefault="001C05E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1C05E9" w:rsidRPr="00A14B55" w:rsidRDefault="001C05E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1C05E9" w:rsidRPr="00A14B55" w:rsidRDefault="001C05E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1C05E9" w:rsidRPr="00A14B55" w:rsidRDefault="001C05E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1C05E9" w:rsidRPr="00A14B55" w:rsidRDefault="001C05E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1C05E9" w:rsidRPr="00A14B55" w:rsidRDefault="001C05E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1C05E9" w:rsidRPr="00A14B55" w:rsidRDefault="001C05E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1C05E9" w:rsidRPr="00A14B55" w:rsidRDefault="001C05E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1C05E9" w:rsidRPr="00A14B55" w:rsidRDefault="001C05E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1C05E9" w:rsidRPr="00A14B55" w:rsidRDefault="001C05E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1C05E9" w:rsidRPr="00A14B55" w:rsidRDefault="001C05E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1C05E9" w:rsidRPr="00A14B55" w:rsidRDefault="001C05E9"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1C05E9" w:rsidRPr="00A14B55" w:rsidRDefault="001C05E9"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1C05E9" w:rsidRPr="00A14B55" w:rsidRDefault="001C05E9"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1C05E9" w:rsidRPr="00A14B55" w:rsidRDefault="001C05E9"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1C05E9" w:rsidRPr="00A14B55" w:rsidRDefault="001C05E9"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1C05E9" w:rsidRPr="00A14B55" w:rsidRDefault="001C05E9"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1C05E9" w:rsidRPr="00A14B55" w:rsidRDefault="001C05E9"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1C05E9" w:rsidRPr="00A14B55" w:rsidRDefault="001C05E9"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1C05E9" w:rsidRPr="00A14B55" w:rsidRDefault="001C05E9"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1C05E9" w:rsidRPr="00A14B55" w:rsidRDefault="001C05E9"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1C05E9" w:rsidRPr="00A14B55" w:rsidRDefault="001C05E9"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1C05E9" w:rsidRPr="00FA3B4E" w:rsidRDefault="001C05E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1C05E9" w:rsidRPr="00FA3B4E" w:rsidRDefault="001C05E9" w:rsidP="00FA3B4E">
                            <w:pPr>
                              <w:rPr>
                                <w:lang w:val="en-US"/>
                              </w:rPr>
                            </w:pPr>
                            <w:r>
                              <w:rPr>
                                <w:lang w:val="en-US"/>
                              </w:rPr>
                              <w:t>2</w:t>
                            </w:r>
                          </w:p>
                          <w:p w:rsidR="001C05E9" w:rsidRPr="00FA3B4E" w:rsidRDefault="001C05E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1C05E9" w:rsidRPr="00FA3B4E" w:rsidRDefault="001C05E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1C05E9" w:rsidRPr="00FA3B4E" w:rsidRDefault="001C05E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1C05E9" w:rsidRPr="00FA3B4E" w:rsidRDefault="001C05E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1C05E9" w:rsidRPr="00FA3B4E" w:rsidRDefault="001C05E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1C05E9" w:rsidRPr="0060797A" w:rsidRDefault="001C05E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1C05E9" w:rsidRPr="00FA3B4E" w:rsidRDefault="001C05E9"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1C05E9" w:rsidRPr="00FA3B4E" w:rsidRDefault="001C05E9" w:rsidP="00FA3B4E">
                      <w:pPr>
                        <w:rPr>
                          <w:lang w:val="en-US"/>
                        </w:rPr>
                      </w:pPr>
                      <w:r>
                        <w:rPr>
                          <w:lang w:val="en-US"/>
                        </w:rPr>
                        <w:t>2</w:t>
                      </w:r>
                    </w:p>
                    <w:p w:rsidR="001C05E9" w:rsidRPr="00FA3B4E" w:rsidRDefault="001C05E9"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1C05E9" w:rsidRPr="00FA3B4E" w:rsidRDefault="001C05E9"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1C05E9" w:rsidRPr="00FA3B4E" w:rsidRDefault="001C05E9"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1C05E9" w:rsidRPr="00FA3B4E" w:rsidRDefault="001C05E9"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1C05E9" w:rsidRPr="00FA3B4E" w:rsidRDefault="001C05E9"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1C05E9" w:rsidRPr="0060797A" w:rsidRDefault="001C05E9"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lastRenderedPageBreak/>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1C05E9" w:rsidRPr="002E549C" w:rsidRDefault="001C05E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1C05E9" w:rsidRPr="009F29D7" w:rsidRDefault="001C05E9" w:rsidP="002E549C">
                            <w:pPr>
                              <w:rPr>
                                <w:lang w:val="en-US"/>
                              </w:rPr>
                            </w:pPr>
                            <w:r>
                              <w:rPr>
                                <w:lang w:val="en-US"/>
                              </w:rPr>
                              <w:t>5</w:t>
                            </w:r>
                            <w:r w:rsidRPr="009F29D7">
                              <w:rPr>
                                <w:lang w:val="en-US"/>
                              </w:rPr>
                              <w:t xml:space="preserve"> 2</w:t>
                            </w:r>
                          </w:p>
                          <w:p w:rsidR="001C05E9" w:rsidRPr="009F29D7" w:rsidRDefault="001C05E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1C05E9" w:rsidRPr="009F29D7" w:rsidRDefault="001C05E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1C05E9" w:rsidRPr="009F29D7" w:rsidRDefault="001C05E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1C05E9" w:rsidRPr="009F29D7" w:rsidRDefault="001C05E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1C05E9" w:rsidRPr="002E549C" w:rsidRDefault="001C05E9"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1C05E9" w:rsidRPr="009F29D7" w:rsidRDefault="001C05E9" w:rsidP="002E549C">
                      <w:pPr>
                        <w:rPr>
                          <w:lang w:val="en-US"/>
                        </w:rPr>
                      </w:pPr>
                      <w:r>
                        <w:rPr>
                          <w:lang w:val="en-US"/>
                        </w:rPr>
                        <w:t>5</w:t>
                      </w:r>
                      <w:r w:rsidRPr="009F29D7">
                        <w:rPr>
                          <w:lang w:val="en-US"/>
                        </w:rPr>
                        <w:t xml:space="preserve"> 2</w:t>
                      </w:r>
                    </w:p>
                    <w:p w:rsidR="001C05E9" w:rsidRPr="009F29D7" w:rsidRDefault="001C05E9"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1C05E9" w:rsidRPr="009F29D7" w:rsidRDefault="001C05E9"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1C05E9" w:rsidRPr="009F29D7" w:rsidRDefault="001C05E9"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1C05E9" w:rsidRPr="009F29D7" w:rsidRDefault="001C05E9"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1C05E9" w:rsidRPr="002E549C" w:rsidRDefault="001C05E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1C05E9" w:rsidRPr="00D24325" w:rsidRDefault="001C05E9" w:rsidP="00D24325">
                            <w:pPr>
                              <w:rPr>
                                <w:lang w:val="en-US"/>
                              </w:rPr>
                            </w:pPr>
                            <w:r>
                              <w:rPr>
                                <w:lang w:val="en-US"/>
                              </w:rPr>
                              <w:t>1 2</w:t>
                            </w:r>
                          </w:p>
                          <w:p w:rsidR="001C05E9" w:rsidRPr="00D24325" w:rsidRDefault="001C05E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1C05E9" w:rsidRPr="00D24325" w:rsidRDefault="001C05E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1C05E9" w:rsidRPr="00D24325" w:rsidRDefault="001C05E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1C05E9" w:rsidRPr="00D24325" w:rsidRDefault="001C05E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1C05E9" w:rsidRPr="002E549C" w:rsidRDefault="001C05E9"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1C05E9" w:rsidRPr="00D24325" w:rsidRDefault="001C05E9" w:rsidP="00D24325">
                      <w:pPr>
                        <w:rPr>
                          <w:lang w:val="en-US"/>
                        </w:rPr>
                      </w:pPr>
                      <w:r>
                        <w:rPr>
                          <w:lang w:val="en-US"/>
                        </w:rPr>
                        <w:t>1 2</w:t>
                      </w:r>
                    </w:p>
                    <w:p w:rsidR="001C05E9" w:rsidRPr="00D24325" w:rsidRDefault="001C05E9"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1C05E9" w:rsidRPr="00D24325" w:rsidRDefault="001C05E9"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1C05E9" w:rsidRPr="00D24325" w:rsidRDefault="001C05E9"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1C05E9" w:rsidRPr="00D24325" w:rsidRDefault="001C05E9"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1C05E9" w:rsidRPr="002E549C" w:rsidRDefault="001C05E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1C05E9" w:rsidRPr="009F29D7" w:rsidRDefault="001C05E9" w:rsidP="00A71AB8">
                            <w:pPr>
                              <w:rPr>
                                <w:lang w:val="en-US"/>
                              </w:rPr>
                            </w:pPr>
                            <w:r>
                              <w:rPr>
                                <w:lang w:val="en-US"/>
                              </w:rPr>
                              <w:t>0 2</w:t>
                            </w:r>
                          </w:p>
                          <w:p w:rsidR="001C05E9" w:rsidRPr="009F29D7" w:rsidRDefault="001C05E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1C05E9" w:rsidRPr="009F29D7" w:rsidRDefault="001C05E9" w:rsidP="00A71AB8">
                            <w:pPr>
                              <w:rPr>
                                <w:lang w:val="en-US"/>
                              </w:rPr>
                            </w:pPr>
                            <w:r w:rsidRPr="009F29D7">
                              <w:rPr>
                                <w:color w:val="A82800"/>
                                <w:lang w:val="en-US"/>
                              </w:rPr>
                              <w:t>3084</w:t>
                            </w:r>
                            <w:r w:rsidRPr="009F29D7">
                              <w:rPr>
                                <w:lang w:val="en-US"/>
                              </w:rPr>
                              <w:tab/>
                            </w:r>
                            <w:r>
                              <w:rPr>
                                <w:lang w:val="en-US"/>
                              </w:rPr>
                              <w:t>-2.25</w:t>
                            </w:r>
                            <w:r>
                              <w:rPr>
                                <w:lang w:val="en-US"/>
                              </w:rPr>
                              <w:tab/>
                              <w:t>-2.25</w:t>
                            </w:r>
                          </w:p>
                          <w:p w:rsidR="001C05E9" w:rsidRPr="009F29D7" w:rsidRDefault="001C05E9" w:rsidP="00A71AB8">
                            <w:pPr>
                              <w:rPr>
                                <w:lang w:val="en-US"/>
                              </w:rPr>
                            </w:pPr>
                            <w:r w:rsidRPr="009F29D7">
                              <w:rPr>
                                <w:color w:val="A82800"/>
                                <w:lang w:val="en-US"/>
                              </w:rPr>
                              <w:t>3098</w:t>
                            </w:r>
                            <w:r w:rsidRPr="009F29D7">
                              <w:rPr>
                                <w:lang w:val="en-US"/>
                              </w:rPr>
                              <w:tab/>
                            </w:r>
                            <w:r>
                              <w:rPr>
                                <w:lang w:val="en-US"/>
                              </w:rPr>
                              <w:t>-2.375</w:t>
                            </w:r>
                            <w:r>
                              <w:rPr>
                                <w:lang w:val="en-US"/>
                              </w:rPr>
                              <w:tab/>
                              <w:t>-2.375</w:t>
                            </w:r>
                          </w:p>
                          <w:p w:rsidR="001C05E9" w:rsidRPr="009F29D7" w:rsidRDefault="001C05E9"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1C05E9" w:rsidRPr="002E549C" w:rsidRDefault="001C05E9"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1C05E9" w:rsidRPr="009F29D7" w:rsidRDefault="001C05E9" w:rsidP="00A71AB8">
                      <w:pPr>
                        <w:rPr>
                          <w:lang w:val="en-US"/>
                        </w:rPr>
                      </w:pPr>
                      <w:r>
                        <w:rPr>
                          <w:lang w:val="en-US"/>
                        </w:rPr>
                        <w:t>0 2</w:t>
                      </w:r>
                    </w:p>
                    <w:p w:rsidR="001C05E9" w:rsidRPr="009F29D7" w:rsidRDefault="001C05E9"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1C05E9" w:rsidRPr="009F29D7" w:rsidRDefault="001C05E9" w:rsidP="00A71AB8">
                      <w:pPr>
                        <w:rPr>
                          <w:lang w:val="en-US"/>
                        </w:rPr>
                      </w:pPr>
                      <w:r w:rsidRPr="009F29D7">
                        <w:rPr>
                          <w:color w:val="A82800"/>
                          <w:lang w:val="en-US"/>
                        </w:rPr>
                        <w:t>3084</w:t>
                      </w:r>
                      <w:r w:rsidRPr="009F29D7">
                        <w:rPr>
                          <w:lang w:val="en-US"/>
                        </w:rPr>
                        <w:tab/>
                      </w:r>
                      <w:r>
                        <w:rPr>
                          <w:lang w:val="en-US"/>
                        </w:rPr>
                        <w:t>-2.25</w:t>
                      </w:r>
                      <w:r>
                        <w:rPr>
                          <w:lang w:val="en-US"/>
                        </w:rPr>
                        <w:tab/>
                        <w:t>-2.25</w:t>
                      </w:r>
                    </w:p>
                    <w:p w:rsidR="001C05E9" w:rsidRPr="009F29D7" w:rsidRDefault="001C05E9" w:rsidP="00A71AB8">
                      <w:pPr>
                        <w:rPr>
                          <w:lang w:val="en-US"/>
                        </w:rPr>
                      </w:pPr>
                      <w:r w:rsidRPr="009F29D7">
                        <w:rPr>
                          <w:color w:val="A82800"/>
                          <w:lang w:val="en-US"/>
                        </w:rPr>
                        <w:t>3098</w:t>
                      </w:r>
                      <w:r w:rsidRPr="009F29D7">
                        <w:rPr>
                          <w:lang w:val="en-US"/>
                        </w:rPr>
                        <w:tab/>
                      </w:r>
                      <w:r>
                        <w:rPr>
                          <w:lang w:val="en-US"/>
                        </w:rPr>
                        <w:t>-2.375</w:t>
                      </w:r>
                      <w:r>
                        <w:rPr>
                          <w:lang w:val="en-US"/>
                        </w:rPr>
                        <w:tab/>
                        <w:t>-2.375</w:t>
                      </w:r>
                    </w:p>
                    <w:p w:rsidR="001C05E9" w:rsidRPr="009F29D7" w:rsidRDefault="001C05E9"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1C05E9" w:rsidRPr="002E549C" w:rsidRDefault="001C05E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1C05E9" w:rsidRPr="005D156E" w:rsidRDefault="001C05E9" w:rsidP="00D03D11">
                            <w:pPr>
                              <w:rPr>
                                <w:lang w:val="en-US"/>
                              </w:rPr>
                            </w:pPr>
                            <w:r>
                              <w:rPr>
                                <w:lang w:val="en-US"/>
                              </w:rPr>
                              <w:t>5</w:t>
                            </w:r>
                            <w:r w:rsidRPr="005D156E">
                              <w:rPr>
                                <w:lang w:val="en-US"/>
                              </w:rPr>
                              <w:t xml:space="preserve"> 2</w:t>
                            </w:r>
                          </w:p>
                          <w:p w:rsidR="001C05E9" w:rsidRPr="009F29D7" w:rsidRDefault="001C05E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1C05E9" w:rsidRPr="009F29D7" w:rsidRDefault="001C05E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1C05E9" w:rsidRPr="009F29D7" w:rsidRDefault="001C05E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1C05E9" w:rsidRPr="009F29D7" w:rsidRDefault="001C05E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1C05E9" w:rsidRPr="002E549C" w:rsidRDefault="001C05E9"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1C05E9" w:rsidRPr="005D156E" w:rsidRDefault="001C05E9" w:rsidP="00D03D11">
                      <w:pPr>
                        <w:rPr>
                          <w:lang w:val="en-US"/>
                        </w:rPr>
                      </w:pPr>
                      <w:r>
                        <w:rPr>
                          <w:lang w:val="en-US"/>
                        </w:rPr>
                        <w:t>5</w:t>
                      </w:r>
                      <w:r w:rsidRPr="005D156E">
                        <w:rPr>
                          <w:lang w:val="en-US"/>
                        </w:rPr>
                        <w:t xml:space="preserve"> 2</w:t>
                      </w:r>
                    </w:p>
                    <w:p w:rsidR="001C05E9" w:rsidRPr="009F29D7" w:rsidRDefault="001C05E9"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1C05E9" w:rsidRPr="009F29D7" w:rsidRDefault="001C05E9"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1C05E9" w:rsidRPr="009F29D7" w:rsidRDefault="001C05E9"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1C05E9" w:rsidRPr="009F29D7" w:rsidRDefault="001C05E9"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1C05E9" w:rsidRPr="002E549C" w:rsidRDefault="001C05E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1C05E9" w:rsidRPr="00D24325" w:rsidRDefault="001C05E9" w:rsidP="00265FBC">
                            <w:pPr>
                              <w:rPr>
                                <w:lang w:val="en-US"/>
                              </w:rPr>
                            </w:pPr>
                            <w:r>
                              <w:rPr>
                                <w:lang w:val="en-US"/>
                              </w:rPr>
                              <w:t>1 2</w:t>
                            </w:r>
                          </w:p>
                          <w:p w:rsidR="001C05E9" w:rsidRPr="00D24325" w:rsidRDefault="001C05E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1C05E9" w:rsidRDefault="001C05E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1C05E9" w:rsidRPr="00D24325" w:rsidRDefault="001C05E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1C05E9" w:rsidRPr="00D24325" w:rsidRDefault="001C05E9"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1C05E9" w:rsidRPr="002E549C" w:rsidRDefault="001C05E9"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1C05E9" w:rsidRPr="00D24325" w:rsidRDefault="001C05E9" w:rsidP="00265FBC">
                      <w:pPr>
                        <w:rPr>
                          <w:lang w:val="en-US"/>
                        </w:rPr>
                      </w:pPr>
                      <w:r>
                        <w:rPr>
                          <w:lang w:val="en-US"/>
                        </w:rPr>
                        <w:t>1 2</w:t>
                      </w:r>
                    </w:p>
                    <w:p w:rsidR="001C05E9" w:rsidRPr="00D24325" w:rsidRDefault="001C05E9"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1C05E9" w:rsidRDefault="001C05E9"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1C05E9" w:rsidRPr="00D24325" w:rsidRDefault="001C05E9"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1C05E9" w:rsidRPr="00D24325" w:rsidRDefault="001C05E9"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1C05E9" w:rsidRPr="002E549C" w:rsidRDefault="001C05E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1C05E9" w:rsidRPr="009F29D7" w:rsidRDefault="001C05E9" w:rsidP="00A71AB8">
                            <w:pPr>
                              <w:rPr>
                                <w:lang w:val="en-US"/>
                              </w:rPr>
                            </w:pPr>
                            <w:r>
                              <w:rPr>
                                <w:lang w:val="en-US"/>
                              </w:rPr>
                              <w:t>5 2</w:t>
                            </w:r>
                          </w:p>
                          <w:p w:rsidR="001C05E9" w:rsidRPr="009F29D7" w:rsidRDefault="001C05E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1C05E9" w:rsidRPr="009F29D7" w:rsidRDefault="001C05E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1C05E9" w:rsidRPr="009F29D7" w:rsidRDefault="001C05E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1C05E9" w:rsidRPr="009F29D7" w:rsidRDefault="001C05E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1C05E9" w:rsidRPr="002E549C" w:rsidRDefault="001C05E9"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1C05E9" w:rsidRPr="009F29D7" w:rsidRDefault="001C05E9" w:rsidP="00A71AB8">
                      <w:pPr>
                        <w:rPr>
                          <w:lang w:val="en-US"/>
                        </w:rPr>
                      </w:pPr>
                      <w:r>
                        <w:rPr>
                          <w:lang w:val="en-US"/>
                        </w:rPr>
                        <w:t>5 2</w:t>
                      </w:r>
                    </w:p>
                    <w:p w:rsidR="001C05E9" w:rsidRPr="009F29D7" w:rsidRDefault="001C05E9"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1C05E9" w:rsidRPr="009F29D7" w:rsidRDefault="001C05E9"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1C05E9" w:rsidRPr="009F29D7" w:rsidRDefault="001C05E9"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1C05E9" w:rsidRPr="009F29D7" w:rsidRDefault="001C05E9"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1C05E9" w:rsidRPr="002E549C" w:rsidRDefault="001C05E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1C05E9" w:rsidRPr="00D24325" w:rsidRDefault="001C05E9" w:rsidP="00265FBC">
                            <w:pPr>
                              <w:rPr>
                                <w:lang w:val="en-US"/>
                              </w:rPr>
                            </w:pPr>
                            <w:r>
                              <w:rPr>
                                <w:lang w:val="en-US"/>
                              </w:rPr>
                              <w:t>1 2</w:t>
                            </w:r>
                          </w:p>
                          <w:p w:rsidR="001C05E9" w:rsidRPr="00D24325" w:rsidRDefault="001C05E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1C05E9" w:rsidRDefault="001C05E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1C05E9" w:rsidRPr="00D24325" w:rsidRDefault="001C05E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1C05E9" w:rsidRPr="00D24325" w:rsidRDefault="001C05E9"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1C05E9" w:rsidRPr="002E549C" w:rsidRDefault="001C05E9"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1C05E9" w:rsidRPr="00D24325" w:rsidRDefault="001C05E9" w:rsidP="00265FBC">
                      <w:pPr>
                        <w:rPr>
                          <w:lang w:val="en-US"/>
                        </w:rPr>
                      </w:pPr>
                      <w:r>
                        <w:rPr>
                          <w:lang w:val="en-US"/>
                        </w:rPr>
                        <w:t>1 2</w:t>
                      </w:r>
                    </w:p>
                    <w:p w:rsidR="001C05E9" w:rsidRPr="00D24325" w:rsidRDefault="001C05E9"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1C05E9" w:rsidRDefault="001C05E9"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1C05E9" w:rsidRPr="00D24325" w:rsidRDefault="001C05E9"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1C05E9" w:rsidRPr="00D24325" w:rsidRDefault="001C05E9"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 xml:space="preserve">In contrast to the initial conditions of the physical model (Simstrat), each biogeochemical variable needs its own file for the initial conditions. The reason for this is that AED2 modules can be turned on or off individually and thus the number of biogeochemical variables </w:t>
      </w:r>
      <w:r w:rsidRPr="00161422">
        <w:rPr>
          <w:sz w:val="24"/>
          <w:szCs w:val="24"/>
          <w:lang w:val="en-US"/>
        </w:rPr>
        <w:lastRenderedPageBreak/>
        <w:t>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1C05E9" w:rsidRPr="000807DD" w:rsidRDefault="001C05E9" w:rsidP="000807DD">
                            <w:pPr>
                              <w:rPr>
                                <w:lang w:val="it-IT"/>
                              </w:rPr>
                            </w:pPr>
                            <w:r w:rsidRPr="000807DD">
                              <w:rPr>
                                <w:lang w:val="it-IT"/>
                              </w:rPr>
                              <w:t>z [m]</w:t>
                            </w:r>
                            <w:r w:rsidRPr="000807DD">
                              <w:rPr>
                                <w:lang w:val="it-IT"/>
                              </w:rPr>
                              <w:tab/>
                              <w:t>ch4 [mmol/m3]</w:t>
                            </w:r>
                          </w:p>
                          <w:p w:rsidR="001C05E9" w:rsidRPr="00F63302" w:rsidRDefault="001C05E9" w:rsidP="000807DD">
                            <w:pPr>
                              <w:rPr>
                                <w:lang w:val="it-IT"/>
                              </w:rPr>
                            </w:pPr>
                            <w:r>
                              <w:rPr>
                                <w:lang w:val="it-IT"/>
                              </w:rPr>
                              <w:t>0</w:t>
                            </w:r>
                            <w:r w:rsidRPr="00F63302">
                              <w:rPr>
                                <w:lang w:val="it-IT"/>
                              </w:rPr>
                              <w:tab/>
                            </w:r>
                            <w:r>
                              <w:rPr>
                                <w:lang w:val="it-IT"/>
                              </w:rPr>
                              <w:t>0</w:t>
                            </w:r>
                          </w:p>
                          <w:p w:rsidR="001C05E9" w:rsidRPr="00F63302" w:rsidRDefault="001C05E9" w:rsidP="000807DD">
                            <w:pPr>
                              <w:rPr>
                                <w:lang w:val="it-IT"/>
                              </w:rPr>
                            </w:pPr>
                            <w:r>
                              <w:rPr>
                                <w:lang w:val="it-IT"/>
                              </w:rPr>
                              <w:t>-5</w:t>
                            </w:r>
                            <w:r>
                              <w:rPr>
                                <w:lang w:val="it-IT"/>
                              </w:rPr>
                              <w:tab/>
                              <w:t>0</w:t>
                            </w:r>
                          </w:p>
                          <w:p w:rsidR="001C05E9" w:rsidRPr="00F63302" w:rsidRDefault="001C05E9" w:rsidP="000807DD">
                            <w:pPr>
                              <w:rPr>
                                <w:lang w:val="it-IT"/>
                              </w:rPr>
                            </w:pPr>
                            <w:r>
                              <w:rPr>
                                <w:lang w:val="it-IT"/>
                              </w:rPr>
                              <w:t>-10</w:t>
                            </w:r>
                            <w:r>
                              <w:rPr>
                                <w:lang w:val="it-IT"/>
                              </w:rPr>
                              <w:tab/>
                              <w:t>0</w:t>
                            </w:r>
                          </w:p>
                          <w:p w:rsidR="001C05E9" w:rsidRPr="00F63302" w:rsidRDefault="001C05E9" w:rsidP="000807DD">
                            <w:pPr>
                              <w:rPr>
                                <w:lang w:val="it-IT"/>
                              </w:rPr>
                            </w:pPr>
                            <w:r>
                              <w:rPr>
                                <w:lang w:val="it-IT"/>
                              </w:rPr>
                              <w:t>-15</w:t>
                            </w:r>
                            <w:r>
                              <w:rPr>
                                <w:lang w:val="it-IT"/>
                              </w:rPr>
                              <w:tab/>
                              <w:t>0</w:t>
                            </w:r>
                          </w:p>
                          <w:p w:rsidR="001C05E9" w:rsidRPr="00F63302" w:rsidRDefault="001C05E9" w:rsidP="000807DD">
                            <w:pPr>
                              <w:rPr>
                                <w:lang w:val="it-IT"/>
                              </w:rPr>
                            </w:pPr>
                            <w:r>
                              <w:rPr>
                                <w:lang w:val="it-IT"/>
                              </w:rPr>
                              <w:t>-20</w:t>
                            </w:r>
                            <w:r>
                              <w:rPr>
                                <w:lang w:val="it-IT"/>
                              </w:rPr>
                              <w:tab/>
                              <w:t>5</w:t>
                            </w:r>
                          </w:p>
                          <w:p w:rsidR="001C05E9" w:rsidRPr="00F63302" w:rsidRDefault="001C05E9" w:rsidP="000807DD">
                            <w:pPr>
                              <w:rPr>
                                <w:lang w:val="it-IT"/>
                              </w:rPr>
                            </w:pPr>
                            <w:r>
                              <w:rPr>
                                <w:lang w:val="it-IT"/>
                              </w:rPr>
                              <w:t>-40</w:t>
                            </w:r>
                            <w:r>
                              <w:rPr>
                                <w:lang w:val="it-IT"/>
                              </w:rPr>
                              <w:tab/>
                              <w:t>10</w:t>
                            </w:r>
                          </w:p>
                          <w:p w:rsidR="001C05E9" w:rsidRPr="00942B91" w:rsidRDefault="001C05E9"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1C05E9" w:rsidRPr="000807DD" w:rsidRDefault="001C05E9" w:rsidP="000807DD">
                      <w:pPr>
                        <w:rPr>
                          <w:lang w:val="it-IT"/>
                        </w:rPr>
                      </w:pPr>
                      <w:r w:rsidRPr="000807DD">
                        <w:rPr>
                          <w:lang w:val="it-IT"/>
                        </w:rPr>
                        <w:t>z [m]</w:t>
                      </w:r>
                      <w:r w:rsidRPr="000807DD">
                        <w:rPr>
                          <w:lang w:val="it-IT"/>
                        </w:rPr>
                        <w:tab/>
                        <w:t>ch4 [mmol/m3]</w:t>
                      </w:r>
                    </w:p>
                    <w:p w:rsidR="001C05E9" w:rsidRPr="00F63302" w:rsidRDefault="001C05E9" w:rsidP="000807DD">
                      <w:pPr>
                        <w:rPr>
                          <w:lang w:val="it-IT"/>
                        </w:rPr>
                      </w:pPr>
                      <w:r>
                        <w:rPr>
                          <w:lang w:val="it-IT"/>
                        </w:rPr>
                        <w:t>0</w:t>
                      </w:r>
                      <w:r w:rsidRPr="00F63302">
                        <w:rPr>
                          <w:lang w:val="it-IT"/>
                        </w:rPr>
                        <w:tab/>
                      </w:r>
                      <w:r>
                        <w:rPr>
                          <w:lang w:val="it-IT"/>
                        </w:rPr>
                        <w:t>0</w:t>
                      </w:r>
                    </w:p>
                    <w:p w:rsidR="001C05E9" w:rsidRPr="00F63302" w:rsidRDefault="001C05E9" w:rsidP="000807DD">
                      <w:pPr>
                        <w:rPr>
                          <w:lang w:val="it-IT"/>
                        </w:rPr>
                      </w:pPr>
                      <w:r>
                        <w:rPr>
                          <w:lang w:val="it-IT"/>
                        </w:rPr>
                        <w:t>-5</w:t>
                      </w:r>
                      <w:r>
                        <w:rPr>
                          <w:lang w:val="it-IT"/>
                        </w:rPr>
                        <w:tab/>
                        <w:t>0</w:t>
                      </w:r>
                    </w:p>
                    <w:p w:rsidR="001C05E9" w:rsidRPr="00F63302" w:rsidRDefault="001C05E9" w:rsidP="000807DD">
                      <w:pPr>
                        <w:rPr>
                          <w:lang w:val="it-IT"/>
                        </w:rPr>
                      </w:pPr>
                      <w:r>
                        <w:rPr>
                          <w:lang w:val="it-IT"/>
                        </w:rPr>
                        <w:t>-10</w:t>
                      </w:r>
                      <w:r>
                        <w:rPr>
                          <w:lang w:val="it-IT"/>
                        </w:rPr>
                        <w:tab/>
                        <w:t>0</w:t>
                      </w:r>
                    </w:p>
                    <w:p w:rsidR="001C05E9" w:rsidRPr="00F63302" w:rsidRDefault="001C05E9" w:rsidP="000807DD">
                      <w:pPr>
                        <w:rPr>
                          <w:lang w:val="it-IT"/>
                        </w:rPr>
                      </w:pPr>
                      <w:r>
                        <w:rPr>
                          <w:lang w:val="it-IT"/>
                        </w:rPr>
                        <w:t>-15</w:t>
                      </w:r>
                      <w:r>
                        <w:rPr>
                          <w:lang w:val="it-IT"/>
                        </w:rPr>
                        <w:tab/>
                        <w:t>0</w:t>
                      </w:r>
                    </w:p>
                    <w:p w:rsidR="001C05E9" w:rsidRPr="00F63302" w:rsidRDefault="001C05E9" w:rsidP="000807DD">
                      <w:pPr>
                        <w:rPr>
                          <w:lang w:val="it-IT"/>
                        </w:rPr>
                      </w:pPr>
                      <w:r>
                        <w:rPr>
                          <w:lang w:val="it-IT"/>
                        </w:rPr>
                        <w:t>-20</w:t>
                      </w:r>
                      <w:r>
                        <w:rPr>
                          <w:lang w:val="it-IT"/>
                        </w:rPr>
                        <w:tab/>
                        <w:t>5</w:t>
                      </w:r>
                    </w:p>
                    <w:p w:rsidR="001C05E9" w:rsidRPr="00F63302" w:rsidRDefault="001C05E9" w:rsidP="000807DD">
                      <w:pPr>
                        <w:rPr>
                          <w:lang w:val="it-IT"/>
                        </w:rPr>
                      </w:pPr>
                      <w:r>
                        <w:rPr>
                          <w:lang w:val="it-IT"/>
                        </w:rPr>
                        <w:t>-40</w:t>
                      </w:r>
                      <w:r>
                        <w:rPr>
                          <w:lang w:val="it-IT"/>
                        </w:rPr>
                        <w:tab/>
                        <w:t>10</w:t>
                      </w:r>
                    </w:p>
                    <w:p w:rsidR="001C05E9" w:rsidRPr="00942B91" w:rsidRDefault="001C05E9"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704582" w:rsidP="00DE433D">
            <w:pPr>
              <w:keepNext/>
              <w:keepLines/>
              <w:spacing w:after="0"/>
              <w:rPr>
                <w:sz w:val="24"/>
                <w:szCs w:val="24"/>
                <w:lang w:val="en-US"/>
              </w:rPr>
            </w:pPr>
            <w:r>
              <w:rPr>
                <w:sz w:val="24"/>
                <w:szCs w:val="24"/>
                <w:lang w:val="en-US"/>
              </w:rPr>
              <w:t>Qvert</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B13E50">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AF67EE" w:rsidRDefault="004A620A" w:rsidP="004A620A">
      <w:pPr>
        <w:pStyle w:val="Heading1"/>
        <w:numPr>
          <w:ilvl w:val="0"/>
          <w:numId w:val="5"/>
        </w:numPr>
        <w:rPr>
          <w:lang w:val="en-US"/>
        </w:rPr>
      </w:pPr>
      <w:bookmarkStart w:id="18" w:name="_Toc97327571"/>
      <w:r>
        <w:rPr>
          <w:lang w:val="en-US"/>
        </w:rPr>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lastRenderedPageBreak/>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1C05E9"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1C05E9"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1C05E9"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1C05E9"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1C05E9"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1C05E9"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1C05E9"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1C05E9"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r w:rsidRPr="002071C0">
              <w:rPr>
                <w:sz w:val="24"/>
                <w:szCs w:val="24"/>
                <w:lang w:val="en-US"/>
              </w:rPr>
              <w:lastRenderedPageBreak/>
              <w:t>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lastRenderedPageBreak/>
              <w:t xml:space="preserve">Calibration parameter(s): give a vector as [starting value, lower </w:t>
            </w:r>
            <w:r>
              <w:rPr>
                <w:sz w:val="24"/>
                <w:szCs w:val="24"/>
                <w:lang w:val="en-US"/>
              </w:rPr>
              <w:lastRenderedPageBreak/>
              <w:t>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62B" w:rsidRDefault="00CE162B" w:rsidP="00FD4D66">
      <w:pPr>
        <w:spacing w:after="0" w:line="240" w:lineRule="auto"/>
      </w:pPr>
      <w:r>
        <w:separator/>
      </w:r>
    </w:p>
  </w:endnote>
  <w:endnote w:type="continuationSeparator" w:id="0">
    <w:p w:rsidR="00CE162B" w:rsidRDefault="00CE162B"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1C05E9" w:rsidRDefault="001C05E9">
        <w:pPr>
          <w:pStyle w:val="Footer"/>
          <w:jc w:val="center"/>
        </w:pPr>
        <w:r>
          <w:fldChar w:fldCharType="begin"/>
        </w:r>
        <w:r>
          <w:instrText xml:space="preserve"> PAGE   \* MERGEFORMAT </w:instrText>
        </w:r>
        <w:r>
          <w:fldChar w:fldCharType="separate"/>
        </w:r>
        <w:r w:rsidR="00B13E50">
          <w:rPr>
            <w:noProof/>
          </w:rPr>
          <w:t>8</w:t>
        </w:r>
        <w:r>
          <w:rPr>
            <w:noProof/>
          </w:rPr>
          <w:fldChar w:fldCharType="end"/>
        </w:r>
      </w:p>
    </w:sdtContent>
  </w:sdt>
  <w:p w:rsidR="001C05E9" w:rsidRDefault="001C0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62B" w:rsidRDefault="00CE162B" w:rsidP="00FD4D66">
      <w:pPr>
        <w:spacing w:after="0" w:line="240" w:lineRule="auto"/>
      </w:pPr>
      <w:r>
        <w:separator/>
      </w:r>
    </w:p>
  </w:footnote>
  <w:footnote w:type="continuationSeparator" w:id="0">
    <w:p w:rsidR="00CE162B" w:rsidRDefault="00CE162B" w:rsidP="00FD4D66">
      <w:pPr>
        <w:spacing w:after="0" w:line="240" w:lineRule="auto"/>
      </w:pPr>
      <w:r>
        <w:continuationSeparator/>
      </w:r>
    </w:p>
  </w:footnote>
  <w:footnote w:id="1">
    <w:p w:rsidR="001C05E9" w:rsidRPr="00A90450" w:rsidRDefault="001C05E9">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5E9" w:rsidRDefault="001C05E9">
    <w:pPr>
      <w:pStyle w:val="Header"/>
    </w:pPr>
    <w:r>
      <w:tab/>
      <w:t>Manual for Simstrat 3.0</w:t>
    </w:r>
    <w:r w:rsidR="003C24F0">
      <w:t>2</w:t>
    </w:r>
  </w:p>
  <w:p w:rsidR="001C05E9" w:rsidRDefault="001C0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360E9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3D4E"/>
    <w:rsid w:val="000E462D"/>
    <w:rsid w:val="000E7EFF"/>
    <w:rsid w:val="00105E96"/>
    <w:rsid w:val="00107FBB"/>
    <w:rsid w:val="001122C3"/>
    <w:rsid w:val="00114A71"/>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2E3F"/>
    <w:rsid w:val="003B61C9"/>
    <w:rsid w:val="003C00A7"/>
    <w:rsid w:val="003C24F0"/>
    <w:rsid w:val="003C575A"/>
    <w:rsid w:val="003E636D"/>
    <w:rsid w:val="003F5A3C"/>
    <w:rsid w:val="003F7871"/>
    <w:rsid w:val="00406A6C"/>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3787"/>
    <w:rsid w:val="005360D9"/>
    <w:rsid w:val="00552A1A"/>
    <w:rsid w:val="00563A3F"/>
    <w:rsid w:val="005652AA"/>
    <w:rsid w:val="00571639"/>
    <w:rsid w:val="00573A28"/>
    <w:rsid w:val="00580B4F"/>
    <w:rsid w:val="00581818"/>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6F21A8"/>
    <w:rsid w:val="006F5E29"/>
    <w:rsid w:val="0070088A"/>
    <w:rsid w:val="00704582"/>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5E95"/>
    <w:rsid w:val="00807014"/>
    <w:rsid w:val="00807B47"/>
    <w:rsid w:val="00813377"/>
    <w:rsid w:val="00815977"/>
    <w:rsid w:val="0082555F"/>
    <w:rsid w:val="00833C98"/>
    <w:rsid w:val="00840F67"/>
    <w:rsid w:val="00852D9E"/>
    <w:rsid w:val="00852F6C"/>
    <w:rsid w:val="0085491F"/>
    <w:rsid w:val="008832B4"/>
    <w:rsid w:val="008A2ECD"/>
    <w:rsid w:val="008B76BD"/>
    <w:rsid w:val="008C21AD"/>
    <w:rsid w:val="008C5C7B"/>
    <w:rsid w:val="008D2AD0"/>
    <w:rsid w:val="008E079E"/>
    <w:rsid w:val="008E5037"/>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E4E27"/>
    <w:rsid w:val="009F0642"/>
    <w:rsid w:val="009F29D7"/>
    <w:rsid w:val="00A00FEA"/>
    <w:rsid w:val="00A05D35"/>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E0895"/>
    <w:rsid w:val="00AE205B"/>
    <w:rsid w:val="00AE3C92"/>
    <w:rsid w:val="00AF67EE"/>
    <w:rsid w:val="00B01D8A"/>
    <w:rsid w:val="00B10ECD"/>
    <w:rsid w:val="00B13E50"/>
    <w:rsid w:val="00B3584B"/>
    <w:rsid w:val="00B47796"/>
    <w:rsid w:val="00B53515"/>
    <w:rsid w:val="00B64257"/>
    <w:rsid w:val="00B66A37"/>
    <w:rsid w:val="00B74D1E"/>
    <w:rsid w:val="00B83836"/>
    <w:rsid w:val="00B84AB5"/>
    <w:rsid w:val="00BA7C43"/>
    <w:rsid w:val="00BB15FF"/>
    <w:rsid w:val="00BC73E7"/>
    <w:rsid w:val="00BD1189"/>
    <w:rsid w:val="00BD2949"/>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162B"/>
    <w:rsid w:val="00CE7660"/>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A79C"/>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8FB78-C9D2-4C96-ACA7-C493EE282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4869</Words>
  <Characters>27754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54</cp:revision>
  <cp:lastPrinted>2022-03-04T22:22:00Z</cp:lastPrinted>
  <dcterms:created xsi:type="dcterms:W3CDTF">2018-09-18T09:50:00Z</dcterms:created>
  <dcterms:modified xsi:type="dcterms:W3CDTF">2022-03-04T22:24:00Z</dcterms:modified>
</cp:coreProperties>
</file>