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A33AC" w14:textId="77777777" w:rsidR="00E019A4" w:rsidRDefault="00E019A4" w:rsidP="00E019A4">
      <w:pPr>
        <w:pStyle w:val="Title"/>
      </w:pPr>
    </w:p>
    <w:p w14:paraId="1EC20205" w14:textId="77777777" w:rsidR="00E019A4" w:rsidRDefault="00E019A4" w:rsidP="00E019A4">
      <w:pPr>
        <w:pStyle w:val="Title"/>
        <w:jc w:val="center"/>
      </w:pPr>
    </w:p>
    <w:p w14:paraId="502A8D47" w14:textId="77777777" w:rsidR="00E019A4" w:rsidRDefault="00E019A4" w:rsidP="00E019A4">
      <w:pPr>
        <w:pStyle w:val="Title"/>
        <w:jc w:val="center"/>
      </w:pPr>
    </w:p>
    <w:p w14:paraId="69B84196" w14:textId="637E0E50" w:rsidR="00E019A4" w:rsidRPr="00E019A4" w:rsidRDefault="00196433" w:rsidP="00E019A4">
      <w:pPr>
        <w:pStyle w:val="Title"/>
        <w:jc w:val="center"/>
      </w:pPr>
      <w:r w:rsidRPr="00E019A4">
        <w:t>INTERNAL SALES ANALYSIS REPORT</w:t>
      </w:r>
    </w:p>
    <w:p w14:paraId="5CB8F826" w14:textId="1C2B9696" w:rsidR="00E019A4" w:rsidRDefault="00196433" w:rsidP="00E019A4">
      <w:pPr>
        <w:pStyle w:val="Title"/>
        <w:jc w:val="center"/>
      </w:pPr>
      <w:r w:rsidRPr="00E019A4">
        <w:t>(Q1 &amp; Q2</w:t>
      </w:r>
      <w:r>
        <w:t>)</w:t>
      </w:r>
    </w:p>
    <w:p w14:paraId="7C4A8969" w14:textId="77777777" w:rsidR="00E019A4" w:rsidRPr="00E019A4" w:rsidRDefault="00E019A4" w:rsidP="00E019A4">
      <w:pPr>
        <w:jc w:val="center"/>
      </w:pPr>
    </w:p>
    <w:p w14:paraId="27EB69E6" w14:textId="77777777" w:rsidR="00E019A4" w:rsidRDefault="00E019A4" w:rsidP="00E019A4">
      <w:pPr>
        <w:pStyle w:val="Title"/>
        <w:jc w:val="center"/>
      </w:pPr>
    </w:p>
    <w:p w14:paraId="44B70F26" w14:textId="5AE35AB0" w:rsidR="00E019A4" w:rsidRPr="00E019A4" w:rsidRDefault="00196433" w:rsidP="00E019A4">
      <w:pPr>
        <w:pStyle w:val="Title"/>
        <w:jc w:val="center"/>
      </w:pPr>
      <w:r w:rsidRPr="00E019A4">
        <w:t>PREPARED BY</w:t>
      </w:r>
      <w:r>
        <w:t>:</w:t>
      </w:r>
    </w:p>
    <w:p w14:paraId="0A5FD6DC" w14:textId="27C5781A" w:rsidR="00E019A4" w:rsidRDefault="00196433" w:rsidP="00E019A4">
      <w:pPr>
        <w:pStyle w:val="Title"/>
        <w:jc w:val="center"/>
      </w:pPr>
      <w:r w:rsidRPr="00E019A4">
        <w:t>AIYEGBENI ISRAEL TEMIDAYO</w:t>
      </w:r>
    </w:p>
    <w:p w14:paraId="3859C5FD" w14:textId="77777777" w:rsidR="00E019A4" w:rsidRDefault="00E019A4" w:rsidP="00E019A4">
      <w:pPr>
        <w:jc w:val="center"/>
      </w:pPr>
    </w:p>
    <w:p w14:paraId="04EC41C3" w14:textId="77777777" w:rsidR="00E019A4" w:rsidRPr="00E019A4" w:rsidRDefault="00E019A4" w:rsidP="00E019A4">
      <w:pPr>
        <w:jc w:val="center"/>
      </w:pPr>
    </w:p>
    <w:p w14:paraId="7556DB49" w14:textId="77F69F84" w:rsidR="00E019A4" w:rsidRPr="00E019A4" w:rsidRDefault="00196433" w:rsidP="00E019A4">
      <w:pPr>
        <w:pStyle w:val="Title"/>
        <w:jc w:val="center"/>
      </w:pPr>
      <w:r w:rsidRPr="00E019A4">
        <w:t>DATE:</w:t>
      </w:r>
    </w:p>
    <w:p w14:paraId="5788864A" w14:textId="2ACE8C26" w:rsidR="00E019A4" w:rsidRDefault="00196433" w:rsidP="00E019A4">
      <w:pPr>
        <w:pStyle w:val="Title"/>
        <w:jc w:val="center"/>
      </w:pPr>
      <w:r w:rsidRPr="00E019A4">
        <w:t>11</w:t>
      </w:r>
      <w:r w:rsidRPr="00E019A4">
        <w:rPr>
          <w:vertAlign w:val="superscript"/>
        </w:rPr>
        <w:t>TH</w:t>
      </w:r>
      <w:r w:rsidRPr="00E019A4">
        <w:t xml:space="preserve"> MAY 2025</w:t>
      </w:r>
    </w:p>
    <w:p w14:paraId="5AB73D88" w14:textId="77777777" w:rsidR="00E019A4" w:rsidRDefault="00E019A4">
      <w:pPr>
        <w:rPr>
          <w:rFonts w:eastAsiaTheme="majorEastAsia" w:cstheme="majorBidi"/>
          <w:b/>
          <w:spacing w:val="-10"/>
          <w:kern w:val="28"/>
          <w:sz w:val="56"/>
          <w:szCs w:val="56"/>
        </w:rPr>
      </w:pPr>
      <w:r>
        <w:br w:type="page"/>
      </w:r>
    </w:p>
    <w:p w14:paraId="56555F84" w14:textId="30EB8F72" w:rsidR="00B75885" w:rsidRDefault="00B75885" w:rsidP="007103DB">
      <w:pPr>
        <w:pStyle w:val="Heading1"/>
        <w:spacing w:after="0"/>
        <w:rPr>
          <w:sz w:val="27"/>
        </w:rPr>
      </w:pPr>
      <w:r>
        <w:rPr>
          <w:rStyle w:val="Strong"/>
          <w:b/>
          <w:bCs w:val="0"/>
        </w:rPr>
        <w:lastRenderedPageBreak/>
        <w:t>1.0</w:t>
      </w:r>
      <w:r>
        <w:rPr>
          <w:rStyle w:val="Strong"/>
          <w:b/>
          <w:bCs w:val="0"/>
        </w:rPr>
        <w:tab/>
        <w:t>Executive summary</w:t>
      </w:r>
    </w:p>
    <w:p w14:paraId="2F7DA812" w14:textId="1214FC2B" w:rsidR="00B75885" w:rsidRDefault="00087D91" w:rsidP="00B75885">
      <w:pPr>
        <w:spacing w:before="100" w:beforeAutospacing="1" w:after="100" w:afterAutospacing="1"/>
      </w:pPr>
      <w:r w:rsidRPr="00087D91">
        <w:t>This internal sales analysis evaluates product and regional sales performance for Q1 and Q2. Among the ten product categories, five recorded revenue growth in Q2, with Product H (+33%) and Product C (+21%) showing the most significant increases. Product E was the only product to exceed its Q2 sales target (103%), while others achieved between 91% and 99% of their targets, indicating near-target performance across most lines. Regionally, the Central zone recorded the highest cumulative revenue, while the South region, despite a revenue decline, slightly exceeded its Q2 target (100.4%). The report highlights areas of concern for underperforming products and recommends reviewing product strategies, adjusting regional targets, and reinforcing support for high-performing areas to optimize future growth and profitability</w:t>
      </w:r>
      <w:r w:rsidR="00B75885">
        <w:t>.</w:t>
      </w:r>
    </w:p>
    <w:p w14:paraId="4FABCDE6" w14:textId="4BFBA176" w:rsidR="00E019A4" w:rsidRDefault="007133E4" w:rsidP="00B75885">
      <w:pPr>
        <w:pStyle w:val="Heading1"/>
        <w:numPr>
          <w:ilvl w:val="0"/>
          <w:numId w:val="3"/>
        </w:numPr>
      </w:pPr>
      <w:r>
        <w:t xml:space="preserve">Purpose and </w:t>
      </w:r>
      <w:r w:rsidR="00B75885">
        <w:t>s</w:t>
      </w:r>
      <w:r>
        <w:t>cope</w:t>
      </w:r>
    </w:p>
    <w:p w14:paraId="127A8A10" w14:textId="4FA01A4A" w:rsidR="007133E4" w:rsidRDefault="007133E4" w:rsidP="00600AA7">
      <w:pPr>
        <w:spacing w:after="0"/>
      </w:pPr>
      <w:r>
        <w:t xml:space="preserve">This report is a comprehensive analysis of the startup’s sales performance during the first two quarters of operations. By examining key metrics such as trend in sales growth or decline, sales by product category, </w:t>
      </w:r>
      <w:r w:rsidR="007103DB">
        <w:t xml:space="preserve">and </w:t>
      </w:r>
      <w:r>
        <w:t>regional performance</w:t>
      </w:r>
      <w:r w:rsidR="00B75885">
        <w:t xml:space="preserve">, </w:t>
      </w:r>
      <w:r>
        <w:t>this report aims to deliver actionable insights that can inform strategic decisions and optimize business operations.</w:t>
      </w:r>
    </w:p>
    <w:p w14:paraId="2D080053" w14:textId="7529F25B" w:rsidR="007133E4" w:rsidRDefault="007133E4" w:rsidP="00600AA7">
      <w:pPr>
        <w:spacing w:after="0"/>
      </w:pPr>
      <w:r>
        <w:t>The scope of the report includes:</w:t>
      </w:r>
    </w:p>
    <w:p w14:paraId="42BE0A2C" w14:textId="0C659ECE" w:rsidR="007133E4" w:rsidRDefault="007133E4" w:rsidP="007133E4">
      <w:pPr>
        <w:pStyle w:val="ListParagraph"/>
        <w:numPr>
          <w:ilvl w:val="0"/>
          <w:numId w:val="2"/>
        </w:numPr>
      </w:pPr>
      <w:r>
        <w:t>Sales data from Q1 and Q2</w:t>
      </w:r>
    </w:p>
    <w:p w14:paraId="00A0A026" w14:textId="67C380CC" w:rsidR="007133E4" w:rsidRDefault="007133E4" w:rsidP="007133E4">
      <w:pPr>
        <w:pStyle w:val="ListParagraph"/>
        <w:numPr>
          <w:ilvl w:val="0"/>
          <w:numId w:val="2"/>
        </w:numPr>
      </w:pPr>
      <w:r>
        <w:t>Analysis by product categories and sales channels</w:t>
      </w:r>
    </w:p>
    <w:p w14:paraId="2165D14A" w14:textId="5230FE4E" w:rsidR="007133E4" w:rsidRDefault="007133E4" w:rsidP="007133E4">
      <w:pPr>
        <w:pStyle w:val="ListParagraph"/>
        <w:numPr>
          <w:ilvl w:val="0"/>
          <w:numId w:val="2"/>
        </w:numPr>
      </w:pPr>
      <w:r>
        <w:t>Performance review by region and customer type</w:t>
      </w:r>
    </w:p>
    <w:p w14:paraId="374917EB" w14:textId="3C98DB44" w:rsidR="007133E4" w:rsidRDefault="007133E4" w:rsidP="00236B9C">
      <w:pPr>
        <w:pStyle w:val="ListParagraph"/>
        <w:numPr>
          <w:ilvl w:val="0"/>
          <w:numId w:val="2"/>
        </w:numPr>
        <w:spacing w:after="0"/>
      </w:pPr>
      <w:r>
        <w:t>Identification of top-selling products and underperforming areas</w:t>
      </w:r>
    </w:p>
    <w:p w14:paraId="0CEE5E22" w14:textId="0FB9B84E" w:rsidR="007133E4" w:rsidRDefault="007133E4" w:rsidP="007133E4">
      <w:r>
        <w:t>This report is intended for internal use by management to assess progress, evaluate market response, and guide planning for the second half of the year.</w:t>
      </w:r>
    </w:p>
    <w:p w14:paraId="59D75DBD" w14:textId="20299825" w:rsidR="007133E4" w:rsidRDefault="00B75885" w:rsidP="00F270F3">
      <w:pPr>
        <w:pStyle w:val="Heading1"/>
      </w:pPr>
      <w:r>
        <w:t>3</w:t>
      </w:r>
      <w:r w:rsidR="00F270F3">
        <w:t>.0</w:t>
      </w:r>
      <w:r>
        <w:tab/>
      </w:r>
      <w:r w:rsidR="00F270F3">
        <w:t>Findings</w:t>
      </w:r>
    </w:p>
    <w:p w14:paraId="65233499" w14:textId="42699BFE" w:rsidR="003A74C8" w:rsidRDefault="00D3110C" w:rsidP="00CB1610">
      <w:r w:rsidRPr="006F63A2">
        <w:rPr>
          <w:b/>
          <w:bCs/>
        </w:rPr>
        <w:t>Table 3.1</w:t>
      </w:r>
      <w:r>
        <w:t xml:space="preserve"> summarises the sales performance. </w:t>
      </w:r>
      <w:r w:rsidR="00CB1610">
        <w:t>The key insights gained have been grouped into the following categories:</w:t>
      </w:r>
    </w:p>
    <w:p w14:paraId="12EFD50C" w14:textId="14E024F7" w:rsidR="0009729B" w:rsidRPr="00CB1610" w:rsidRDefault="0009729B" w:rsidP="0009729B">
      <w:pPr>
        <w:pStyle w:val="Heading2"/>
      </w:pPr>
      <w:r>
        <w:t xml:space="preserve">3.1 </w:t>
      </w:r>
      <w:r>
        <w:tab/>
        <w:t>Sales performance by product category</w:t>
      </w:r>
    </w:p>
    <w:p w14:paraId="474F3B17" w14:textId="77777777" w:rsidR="0009729B" w:rsidRDefault="0009729B" w:rsidP="0009729B">
      <w:pPr>
        <w:keepNext/>
        <w:jc w:val="left"/>
      </w:pPr>
      <w:r>
        <w:rPr>
          <w:noProof/>
        </w:rPr>
        <w:drawing>
          <wp:inline distT="0" distB="0" distL="0" distR="0" wp14:anchorId="3B1A66AE" wp14:editId="2F1B2057">
            <wp:extent cx="4986655" cy="1859536"/>
            <wp:effectExtent l="0" t="0" r="4445" b="7620"/>
            <wp:docPr id="54547918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D0CABF7-6552-2583-53F2-98678491EE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C2C4B6" w14:textId="5BEA3514" w:rsidR="0009729B" w:rsidRDefault="0009729B" w:rsidP="000E1D08">
      <w:pPr>
        <w:pStyle w:val="Caption"/>
        <w:rPr>
          <w:rFonts w:eastAsiaTheme="majorEastAsia" w:cstheme="majorBidi"/>
          <w:b/>
          <w:sz w:val="28"/>
          <w:szCs w:val="32"/>
        </w:rPr>
      </w:pPr>
      <w:r>
        <w:t xml:space="preserve">Figure 3. </w:t>
      </w:r>
      <w:r>
        <w:fldChar w:fldCharType="begin"/>
      </w:r>
      <w:r>
        <w:instrText xml:space="preserve"> SEQ Figure_3. \* ARABIC </w:instrText>
      </w:r>
      <w:r>
        <w:fldChar w:fldCharType="separate"/>
      </w:r>
      <w:r w:rsidR="006F63A2">
        <w:rPr>
          <w:noProof/>
        </w:rPr>
        <w:t>1</w:t>
      </w:r>
      <w:r>
        <w:fldChar w:fldCharType="end"/>
      </w:r>
      <w:r>
        <w:t xml:space="preserve"> Chart of Sales performance by product category</w:t>
      </w:r>
    </w:p>
    <w:p w14:paraId="197F6FF7" w14:textId="6B6E9DF8" w:rsidR="00493818" w:rsidRPr="00D3110C" w:rsidRDefault="00600AA7" w:rsidP="00493818">
      <w:pPr>
        <w:rPr>
          <w:b/>
          <w:bCs/>
        </w:rPr>
      </w:pPr>
      <w:r w:rsidRPr="00D3110C">
        <w:rPr>
          <w:b/>
          <w:bCs/>
        </w:rPr>
        <w:lastRenderedPageBreak/>
        <w:t>Table 3.1: Performance of sales in the product categories</w:t>
      </w:r>
    </w:p>
    <w:tbl>
      <w:tblPr>
        <w:tblStyle w:val="PlainTable2"/>
        <w:tblW w:w="10567" w:type="dxa"/>
        <w:tblLook w:val="06A0" w:firstRow="1" w:lastRow="0" w:firstColumn="1" w:lastColumn="0" w:noHBand="1" w:noVBand="1"/>
      </w:tblPr>
      <w:tblGrid>
        <w:gridCol w:w="1566"/>
        <w:gridCol w:w="1602"/>
        <w:gridCol w:w="1440"/>
        <w:gridCol w:w="1530"/>
        <w:gridCol w:w="1710"/>
        <w:gridCol w:w="1260"/>
        <w:gridCol w:w="1459"/>
      </w:tblGrid>
      <w:tr w:rsidR="00A668FD" w:rsidRPr="00CD29C5" w14:paraId="4228409C" w14:textId="77777777" w:rsidTr="00A668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5AC45079" w14:textId="77777777" w:rsidR="00CD29C5" w:rsidRPr="00CD29C5" w:rsidRDefault="00CD29C5">
            <w:r w:rsidRPr="00CD29C5">
              <w:t>Product Category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1888F59E" w14:textId="77777777" w:rsid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29C5">
              <w:t>Q1 Revenue</w:t>
            </w:r>
          </w:p>
          <w:p w14:paraId="7A68EEDC" w14:textId="7380CA70" w:rsidR="003B494F" w:rsidRDefault="003B4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3B494F">
              <w:rPr>
                <w:b w:val="0"/>
                <w:bCs w:val="0"/>
              </w:rPr>
              <w:t>₦</w:t>
            </w:r>
            <w:r>
              <w:rPr>
                <w:b w:val="0"/>
                <w:bCs w:val="0"/>
              </w:rPr>
              <w:t>)</w:t>
            </w:r>
          </w:p>
          <w:p w14:paraId="38500C65" w14:textId="77777777" w:rsidR="00396FDC" w:rsidRPr="00CD29C5" w:rsidRDefault="00396F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04749A91" w14:textId="77777777" w:rsid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29C5">
              <w:t>Q1 Target</w:t>
            </w:r>
          </w:p>
          <w:p w14:paraId="71F861BE" w14:textId="10CDEB52" w:rsidR="003B494F" w:rsidRPr="003B494F" w:rsidRDefault="003B4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3B494F">
              <w:rPr>
                <w:b w:val="0"/>
                <w:bCs w:val="0"/>
              </w:rPr>
              <w:t>₦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398E8437" w14:textId="77777777" w:rsid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29C5">
              <w:t>Q2 Revenue</w:t>
            </w:r>
          </w:p>
          <w:p w14:paraId="2B730A9F" w14:textId="77777777" w:rsidR="003B494F" w:rsidRDefault="003B494F" w:rsidP="003B4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3B494F">
              <w:rPr>
                <w:b w:val="0"/>
                <w:bCs w:val="0"/>
              </w:rPr>
              <w:t>₦</w:t>
            </w:r>
            <w:r>
              <w:rPr>
                <w:b w:val="0"/>
                <w:bCs w:val="0"/>
              </w:rPr>
              <w:t>)</w:t>
            </w:r>
          </w:p>
          <w:p w14:paraId="60CABB2B" w14:textId="77777777" w:rsidR="003B494F" w:rsidRPr="00CD29C5" w:rsidRDefault="003B4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A2A4081" w14:textId="77777777" w:rsid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29C5">
              <w:t>Q2 Target</w:t>
            </w:r>
          </w:p>
          <w:p w14:paraId="5C7B5848" w14:textId="666DF84D" w:rsidR="003B494F" w:rsidRPr="003B494F" w:rsidRDefault="003B4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(</w:t>
            </w:r>
            <w:r w:rsidRPr="003B494F">
              <w:rPr>
                <w:b w:val="0"/>
                <w:bCs w:val="0"/>
              </w:rPr>
              <w:t>₦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02F69F12" w14:textId="77777777" w:rsidR="00CD29C5" w:rsidRP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% Growth</w:t>
            </w:r>
          </w:p>
        </w:tc>
        <w:tc>
          <w:tcPr>
            <w:tcW w:w="145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4A413202" w14:textId="77777777" w:rsidR="00CD29C5" w:rsidRPr="00CD29C5" w:rsidRDefault="00CD2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% of Q2 Target Met</w:t>
            </w:r>
          </w:p>
        </w:tc>
      </w:tr>
      <w:tr w:rsidR="00771B32" w:rsidRPr="00CD29C5" w14:paraId="5D49FF92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tcBorders>
              <w:top w:val="single" w:sz="12" w:space="0" w:color="auto"/>
            </w:tcBorders>
            <w:noWrap/>
            <w:hideMark/>
          </w:tcPr>
          <w:p w14:paraId="1D436EE6" w14:textId="77777777" w:rsidR="00771B32" w:rsidRPr="00CD29C5" w:rsidRDefault="00771B32" w:rsidP="00771B32">
            <w:r w:rsidRPr="00CD29C5">
              <w:t>Product A</w:t>
            </w:r>
          </w:p>
        </w:tc>
        <w:tc>
          <w:tcPr>
            <w:tcW w:w="1602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3F02394F" w14:textId="107BBF32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146.5K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535D57AD" w14:textId="41966A9A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153.8K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3EF968BB" w14:textId="6B0F62BA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160.5K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noWrap/>
            <w:vAlign w:val="bottom"/>
            <w:hideMark/>
          </w:tcPr>
          <w:p w14:paraId="0133A275" w14:textId="113841F1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170.6K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noWrap/>
            <w:hideMark/>
          </w:tcPr>
          <w:p w14:paraId="34EC11C9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10%</w:t>
            </w:r>
          </w:p>
        </w:tc>
        <w:tc>
          <w:tcPr>
            <w:tcW w:w="1459" w:type="dxa"/>
            <w:tcBorders>
              <w:top w:val="single" w:sz="12" w:space="0" w:color="auto"/>
            </w:tcBorders>
            <w:noWrap/>
            <w:hideMark/>
          </w:tcPr>
          <w:p w14:paraId="5F731719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94%</w:t>
            </w:r>
          </w:p>
        </w:tc>
      </w:tr>
      <w:tr w:rsidR="00771B32" w:rsidRPr="00CD29C5" w14:paraId="1934F736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ADE7255" w14:textId="77777777" w:rsidR="00771B32" w:rsidRPr="00CD29C5" w:rsidRDefault="00771B32" w:rsidP="00771B32">
            <w:pPr>
              <w:jc w:val="left"/>
            </w:pPr>
            <w:r w:rsidRPr="00CD29C5">
              <w:t>Product B</w:t>
            </w:r>
          </w:p>
        </w:tc>
        <w:tc>
          <w:tcPr>
            <w:tcW w:w="1602" w:type="dxa"/>
            <w:noWrap/>
            <w:vAlign w:val="bottom"/>
            <w:hideMark/>
          </w:tcPr>
          <w:p w14:paraId="42D50F1B" w14:textId="4614BE6E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151.9K</w:t>
            </w:r>
          </w:p>
        </w:tc>
        <w:tc>
          <w:tcPr>
            <w:tcW w:w="1440" w:type="dxa"/>
            <w:noWrap/>
            <w:vAlign w:val="bottom"/>
            <w:hideMark/>
          </w:tcPr>
          <w:p w14:paraId="02B14BC4" w14:textId="6ABB19B7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158.5K</w:t>
            </w:r>
          </w:p>
        </w:tc>
        <w:tc>
          <w:tcPr>
            <w:tcW w:w="1530" w:type="dxa"/>
            <w:noWrap/>
            <w:vAlign w:val="bottom"/>
            <w:hideMark/>
          </w:tcPr>
          <w:p w14:paraId="66B44038" w14:textId="0D904FE1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144.8K</w:t>
            </w:r>
          </w:p>
        </w:tc>
        <w:tc>
          <w:tcPr>
            <w:tcW w:w="1710" w:type="dxa"/>
            <w:noWrap/>
            <w:vAlign w:val="bottom"/>
            <w:hideMark/>
          </w:tcPr>
          <w:p w14:paraId="2C109005" w14:textId="0255000F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152.3K</w:t>
            </w:r>
          </w:p>
        </w:tc>
        <w:tc>
          <w:tcPr>
            <w:tcW w:w="1260" w:type="dxa"/>
            <w:noWrap/>
            <w:hideMark/>
          </w:tcPr>
          <w:p w14:paraId="1271DAF9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-5%</w:t>
            </w:r>
          </w:p>
        </w:tc>
        <w:tc>
          <w:tcPr>
            <w:tcW w:w="1459" w:type="dxa"/>
            <w:noWrap/>
            <w:hideMark/>
          </w:tcPr>
          <w:p w14:paraId="34EA3D0D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95%</w:t>
            </w:r>
          </w:p>
        </w:tc>
      </w:tr>
      <w:tr w:rsidR="00771B32" w:rsidRPr="00CD29C5" w14:paraId="5E96738A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FFCA424" w14:textId="77777777" w:rsidR="00771B32" w:rsidRPr="00CD29C5" w:rsidRDefault="00771B32" w:rsidP="00771B32">
            <w:pPr>
              <w:jc w:val="left"/>
            </w:pPr>
            <w:r w:rsidRPr="00CD29C5">
              <w:t>Product C</w:t>
            </w:r>
          </w:p>
        </w:tc>
        <w:tc>
          <w:tcPr>
            <w:tcW w:w="1602" w:type="dxa"/>
            <w:noWrap/>
            <w:vAlign w:val="bottom"/>
            <w:hideMark/>
          </w:tcPr>
          <w:p w14:paraId="3A31C488" w14:textId="3D91FC69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128.0K</w:t>
            </w:r>
          </w:p>
        </w:tc>
        <w:tc>
          <w:tcPr>
            <w:tcW w:w="1440" w:type="dxa"/>
            <w:noWrap/>
            <w:vAlign w:val="bottom"/>
            <w:hideMark/>
          </w:tcPr>
          <w:p w14:paraId="224D6BE0" w14:textId="542FBFCC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131.3K</w:t>
            </w:r>
          </w:p>
        </w:tc>
        <w:tc>
          <w:tcPr>
            <w:tcW w:w="1530" w:type="dxa"/>
            <w:noWrap/>
            <w:vAlign w:val="bottom"/>
            <w:hideMark/>
          </w:tcPr>
          <w:p w14:paraId="0F303B62" w14:textId="47E2E03B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154.7K</w:t>
            </w:r>
          </w:p>
        </w:tc>
        <w:tc>
          <w:tcPr>
            <w:tcW w:w="1710" w:type="dxa"/>
            <w:noWrap/>
            <w:vAlign w:val="bottom"/>
            <w:hideMark/>
          </w:tcPr>
          <w:p w14:paraId="4862CB42" w14:textId="3C500A20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165.7K</w:t>
            </w:r>
          </w:p>
        </w:tc>
        <w:tc>
          <w:tcPr>
            <w:tcW w:w="1260" w:type="dxa"/>
            <w:noWrap/>
            <w:hideMark/>
          </w:tcPr>
          <w:p w14:paraId="111C86B6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21%</w:t>
            </w:r>
          </w:p>
        </w:tc>
        <w:tc>
          <w:tcPr>
            <w:tcW w:w="1459" w:type="dxa"/>
            <w:noWrap/>
            <w:hideMark/>
          </w:tcPr>
          <w:p w14:paraId="0E689E88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93%</w:t>
            </w:r>
          </w:p>
        </w:tc>
      </w:tr>
      <w:tr w:rsidR="00771B32" w:rsidRPr="00CD29C5" w14:paraId="255EC486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4CDB4E72" w14:textId="77777777" w:rsidR="00771B32" w:rsidRPr="00CD29C5" w:rsidRDefault="00771B32" w:rsidP="00771B32">
            <w:pPr>
              <w:jc w:val="left"/>
            </w:pPr>
            <w:r w:rsidRPr="00CD29C5">
              <w:t>Product D</w:t>
            </w:r>
          </w:p>
        </w:tc>
        <w:tc>
          <w:tcPr>
            <w:tcW w:w="1602" w:type="dxa"/>
            <w:noWrap/>
            <w:vAlign w:val="bottom"/>
            <w:hideMark/>
          </w:tcPr>
          <w:p w14:paraId="145D590A" w14:textId="7792CE26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164.4K</w:t>
            </w:r>
          </w:p>
        </w:tc>
        <w:tc>
          <w:tcPr>
            <w:tcW w:w="1440" w:type="dxa"/>
            <w:noWrap/>
            <w:vAlign w:val="bottom"/>
            <w:hideMark/>
          </w:tcPr>
          <w:p w14:paraId="5C2D7E24" w14:textId="2CE2AEF5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165.6K</w:t>
            </w:r>
          </w:p>
        </w:tc>
        <w:tc>
          <w:tcPr>
            <w:tcW w:w="1530" w:type="dxa"/>
            <w:noWrap/>
            <w:vAlign w:val="bottom"/>
            <w:hideMark/>
          </w:tcPr>
          <w:p w14:paraId="584D1D0B" w14:textId="3E2AEA3E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115.5K</w:t>
            </w:r>
          </w:p>
        </w:tc>
        <w:tc>
          <w:tcPr>
            <w:tcW w:w="1710" w:type="dxa"/>
            <w:noWrap/>
            <w:vAlign w:val="bottom"/>
            <w:hideMark/>
          </w:tcPr>
          <w:p w14:paraId="21601367" w14:textId="4DC108AD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117.8K</w:t>
            </w:r>
          </w:p>
        </w:tc>
        <w:tc>
          <w:tcPr>
            <w:tcW w:w="1260" w:type="dxa"/>
            <w:noWrap/>
            <w:hideMark/>
          </w:tcPr>
          <w:p w14:paraId="7DD5192D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-30%</w:t>
            </w:r>
          </w:p>
        </w:tc>
        <w:tc>
          <w:tcPr>
            <w:tcW w:w="1459" w:type="dxa"/>
            <w:noWrap/>
            <w:hideMark/>
          </w:tcPr>
          <w:p w14:paraId="7333CD7A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98%</w:t>
            </w:r>
          </w:p>
        </w:tc>
      </w:tr>
      <w:tr w:rsidR="00771B32" w:rsidRPr="00CD29C5" w14:paraId="7D1ADE46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3FA5FE41" w14:textId="77777777" w:rsidR="00771B32" w:rsidRPr="00CD29C5" w:rsidRDefault="00771B32" w:rsidP="00771B32">
            <w:pPr>
              <w:jc w:val="left"/>
            </w:pPr>
            <w:r w:rsidRPr="00CD29C5">
              <w:t>Product E</w:t>
            </w:r>
          </w:p>
        </w:tc>
        <w:tc>
          <w:tcPr>
            <w:tcW w:w="1602" w:type="dxa"/>
            <w:noWrap/>
            <w:vAlign w:val="bottom"/>
            <w:hideMark/>
          </w:tcPr>
          <w:p w14:paraId="5E17D895" w14:textId="40B98BE1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151.4K</w:t>
            </w:r>
          </w:p>
        </w:tc>
        <w:tc>
          <w:tcPr>
            <w:tcW w:w="1440" w:type="dxa"/>
            <w:noWrap/>
            <w:vAlign w:val="bottom"/>
            <w:hideMark/>
          </w:tcPr>
          <w:p w14:paraId="53DCA538" w14:textId="6431D9CF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162.6K</w:t>
            </w:r>
          </w:p>
        </w:tc>
        <w:tc>
          <w:tcPr>
            <w:tcW w:w="1530" w:type="dxa"/>
            <w:noWrap/>
            <w:vAlign w:val="bottom"/>
            <w:hideMark/>
          </w:tcPr>
          <w:p w14:paraId="52BB2E0F" w14:textId="5F0B974D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167.4K</w:t>
            </w:r>
          </w:p>
        </w:tc>
        <w:tc>
          <w:tcPr>
            <w:tcW w:w="1710" w:type="dxa"/>
            <w:noWrap/>
            <w:vAlign w:val="bottom"/>
            <w:hideMark/>
          </w:tcPr>
          <w:p w14:paraId="71E2D1AF" w14:textId="69B03ED6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162.9K</w:t>
            </w:r>
          </w:p>
        </w:tc>
        <w:tc>
          <w:tcPr>
            <w:tcW w:w="1260" w:type="dxa"/>
            <w:noWrap/>
            <w:hideMark/>
          </w:tcPr>
          <w:p w14:paraId="2593176B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11%</w:t>
            </w:r>
          </w:p>
        </w:tc>
        <w:tc>
          <w:tcPr>
            <w:tcW w:w="1459" w:type="dxa"/>
            <w:noWrap/>
            <w:hideMark/>
          </w:tcPr>
          <w:p w14:paraId="16F62CA1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103%</w:t>
            </w:r>
          </w:p>
        </w:tc>
      </w:tr>
      <w:tr w:rsidR="00771B32" w:rsidRPr="00CD29C5" w14:paraId="19A60A2D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ACE0FB4" w14:textId="77777777" w:rsidR="00771B32" w:rsidRPr="00CD29C5" w:rsidRDefault="00771B32" w:rsidP="00771B32">
            <w:pPr>
              <w:jc w:val="left"/>
            </w:pPr>
            <w:r w:rsidRPr="00CD29C5">
              <w:t>Product F</w:t>
            </w:r>
          </w:p>
        </w:tc>
        <w:tc>
          <w:tcPr>
            <w:tcW w:w="1602" w:type="dxa"/>
            <w:noWrap/>
            <w:vAlign w:val="bottom"/>
            <w:hideMark/>
          </w:tcPr>
          <w:p w14:paraId="1E3D3200" w14:textId="026B9C90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124.3K</w:t>
            </w:r>
          </w:p>
        </w:tc>
        <w:tc>
          <w:tcPr>
            <w:tcW w:w="1440" w:type="dxa"/>
            <w:noWrap/>
            <w:vAlign w:val="bottom"/>
            <w:hideMark/>
          </w:tcPr>
          <w:p w14:paraId="2CB3FA06" w14:textId="4703BE63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130.9K</w:t>
            </w:r>
          </w:p>
        </w:tc>
        <w:tc>
          <w:tcPr>
            <w:tcW w:w="1530" w:type="dxa"/>
            <w:noWrap/>
            <w:vAlign w:val="bottom"/>
            <w:hideMark/>
          </w:tcPr>
          <w:p w14:paraId="0F8B91B9" w14:textId="59F9D405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140.6K</w:t>
            </w:r>
          </w:p>
        </w:tc>
        <w:tc>
          <w:tcPr>
            <w:tcW w:w="1710" w:type="dxa"/>
            <w:noWrap/>
            <w:vAlign w:val="bottom"/>
            <w:hideMark/>
          </w:tcPr>
          <w:p w14:paraId="78621C01" w14:textId="3957E699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142.1K</w:t>
            </w:r>
          </w:p>
        </w:tc>
        <w:tc>
          <w:tcPr>
            <w:tcW w:w="1260" w:type="dxa"/>
            <w:noWrap/>
            <w:hideMark/>
          </w:tcPr>
          <w:p w14:paraId="66D93C3C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13%</w:t>
            </w:r>
          </w:p>
        </w:tc>
        <w:tc>
          <w:tcPr>
            <w:tcW w:w="1459" w:type="dxa"/>
            <w:noWrap/>
            <w:hideMark/>
          </w:tcPr>
          <w:p w14:paraId="36E8BCF6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99%</w:t>
            </w:r>
          </w:p>
        </w:tc>
      </w:tr>
      <w:tr w:rsidR="00771B32" w:rsidRPr="00CD29C5" w14:paraId="0459BBB3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1E12DE7" w14:textId="77777777" w:rsidR="00771B32" w:rsidRPr="00CD29C5" w:rsidRDefault="00771B32" w:rsidP="00771B32">
            <w:pPr>
              <w:jc w:val="left"/>
            </w:pPr>
            <w:r w:rsidRPr="00CD29C5">
              <w:t>Product G</w:t>
            </w:r>
          </w:p>
        </w:tc>
        <w:tc>
          <w:tcPr>
            <w:tcW w:w="1602" w:type="dxa"/>
            <w:noWrap/>
            <w:vAlign w:val="bottom"/>
            <w:hideMark/>
          </w:tcPr>
          <w:p w14:paraId="06AAAA53" w14:textId="4886C3CA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137.2K</w:t>
            </w:r>
          </w:p>
        </w:tc>
        <w:tc>
          <w:tcPr>
            <w:tcW w:w="1440" w:type="dxa"/>
            <w:noWrap/>
            <w:vAlign w:val="bottom"/>
            <w:hideMark/>
          </w:tcPr>
          <w:p w14:paraId="5C54D67E" w14:textId="4DE33196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148.8K</w:t>
            </w:r>
          </w:p>
        </w:tc>
        <w:tc>
          <w:tcPr>
            <w:tcW w:w="1530" w:type="dxa"/>
            <w:noWrap/>
            <w:vAlign w:val="bottom"/>
            <w:hideMark/>
          </w:tcPr>
          <w:p w14:paraId="3DB57D49" w14:textId="2529A03F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124.0K</w:t>
            </w:r>
          </w:p>
        </w:tc>
        <w:tc>
          <w:tcPr>
            <w:tcW w:w="1710" w:type="dxa"/>
            <w:noWrap/>
            <w:vAlign w:val="bottom"/>
            <w:hideMark/>
          </w:tcPr>
          <w:p w14:paraId="7694275E" w14:textId="054F29D2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131.5K</w:t>
            </w:r>
          </w:p>
        </w:tc>
        <w:tc>
          <w:tcPr>
            <w:tcW w:w="1260" w:type="dxa"/>
            <w:noWrap/>
            <w:hideMark/>
          </w:tcPr>
          <w:p w14:paraId="2CB736CA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-10%</w:t>
            </w:r>
          </w:p>
        </w:tc>
        <w:tc>
          <w:tcPr>
            <w:tcW w:w="1459" w:type="dxa"/>
            <w:noWrap/>
            <w:hideMark/>
          </w:tcPr>
          <w:p w14:paraId="0BBD9DC1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94%</w:t>
            </w:r>
          </w:p>
        </w:tc>
      </w:tr>
      <w:tr w:rsidR="00771B32" w:rsidRPr="00CD29C5" w14:paraId="4CC40894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0182798E" w14:textId="77777777" w:rsidR="00771B32" w:rsidRPr="00CD29C5" w:rsidRDefault="00771B32" w:rsidP="00771B32">
            <w:pPr>
              <w:jc w:val="left"/>
            </w:pPr>
            <w:r w:rsidRPr="00CD29C5">
              <w:t>Product H</w:t>
            </w:r>
          </w:p>
        </w:tc>
        <w:tc>
          <w:tcPr>
            <w:tcW w:w="1602" w:type="dxa"/>
            <w:noWrap/>
            <w:vAlign w:val="bottom"/>
            <w:hideMark/>
          </w:tcPr>
          <w:p w14:paraId="057DE08E" w14:textId="3DDB6BAA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135.5K</w:t>
            </w:r>
          </w:p>
        </w:tc>
        <w:tc>
          <w:tcPr>
            <w:tcW w:w="1440" w:type="dxa"/>
            <w:noWrap/>
            <w:vAlign w:val="bottom"/>
            <w:hideMark/>
          </w:tcPr>
          <w:p w14:paraId="491C6241" w14:textId="0ECA10AF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143.1K</w:t>
            </w:r>
          </w:p>
        </w:tc>
        <w:tc>
          <w:tcPr>
            <w:tcW w:w="1530" w:type="dxa"/>
            <w:noWrap/>
            <w:vAlign w:val="bottom"/>
            <w:hideMark/>
          </w:tcPr>
          <w:p w14:paraId="60F24590" w14:textId="7D2A471C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180.3K</w:t>
            </w:r>
          </w:p>
        </w:tc>
        <w:tc>
          <w:tcPr>
            <w:tcW w:w="1710" w:type="dxa"/>
            <w:noWrap/>
            <w:vAlign w:val="bottom"/>
            <w:hideMark/>
          </w:tcPr>
          <w:p w14:paraId="4963A01F" w14:textId="748290B0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197.6K</w:t>
            </w:r>
          </w:p>
        </w:tc>
        <w:tc>
          <w:tcPr>
            <w:tcW w:w="1260" w:type="dxa"/>
            <w:noWrap/>
            <w:hideMark/>
          </w:tcPr>
          <w:p w14:paraId="0E0293F1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33%</w:t>
            </w:r>
          </w:p>
        </w:tc>
        <w:tc>
          <w:tcPr>
            <w:tcW w:w="1459" w:type="dxa"/>
            <w:noWrap/>
            <w:hideMark/>
          </w:tcPr>
          <w:p w14:paraId="13F22D64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91%</w:t>
            </w:r>
          </w:p>
        </w:tc>
      </w:tr>
      <w:tr w:rsidR="00771B32" w:rsidRPr="00CD29C5" w14:paraId="55496C96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1789F8E6" w14:textId="77777777" w:rsidR="00771B32" w:rsidRPr="00CD29C5" w:rsidRDefault="00771B32" w:rsidP="00771B32">
            <w:pPr>
              <w:jc w:val="left"/>
            </w:pPr>
            <w:r w:rsidRPr="00CD29C5">
              <w:t>Product I</w:t>
            </w:r>
          </w:p>
        </w:tc>
        <w:tc>
          <w:tcPr>
            <w:tcW w:w="1602" w:type="dxa"/>
            <w:noWrap/>
            <w:vAlign w:val="bottom"/>
            <w:hideMark/>
          </w:tcPr>
          <w:p w14:paraId="231E4EF2" w14:textId="1C28ECCB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151.8K</w:t>
            </w:r>
          </w:p>
        </w:tc>
        <w:tc>
          <w:tcPr>
            <w:tcW w:w="1440" w:type="dxa"/>
            <w:noWrap/>
            <w:vAlign w:val="bottom"/>
            <w:hideMark/>
          </w:tcPr>
          <w:p w14:paraId="5CC76704" w14:textId="4B76D4AC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159.6K</w:t>
            </w:r>
          </w:p>
        </w:tc>
        <w:tc>
          <w:tcPr>
            <w:tcW w:w="1530" w:type="dxa"/>
            <w:noWrap/>
            <w:vAlign w:val="bottom"/>
            <w:hideMark/>
          </w:tcPr>
          <w:p w14:paraId="68C7DAC5" w14:textId="5DD9917B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135.4K</w:t>
            </w:r>
          </w:p>
        </w:tc>
        <w:tc>
          <w:tcPr>
            <w:tcW w:w="1710" w:type="dxa"/>
            <w:noWrap/>
            <w:vAlign w:val="bottom"/>
            <w:hideMark/>
          </w:tcPr>
          <w:p w14:paraId="56209AFF" w14:textId="1DAB5233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143.8K</w:t>
            </w:r>
          </w:p>
        </w:tc>
        <w:tc>
          <w:tcPr>
            <w:tcW w:w="1260" w:type="dxa"/>
            <w:noWrap/>
            <w:hideMark/>
          </w:tcPr>
          <w:p w14:paraId="3BE703E6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-11%</w:t>
            </w:r>
          </w:p>
        </w:tc>
        <w:tc>
          <w:tcPr>
            <w:tcW w:w="1459" w:type="dxa"/>
            <w:noWrap/>
            <w:hideMark/>
          </w:tcPr>
          <w:p w14:paraId="288D7189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94%</w:t>
            </w:r>
          </w:p>
        </w:tc>
      </w:tr>
      <w:tr w:rsidR="00771B32" w:rsidRPr="00CD29C5" w14:paraId="4C7F5E72" w14:textId="77777777" w:rsidTr="004A4713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noWrap/>
            <w:hideMark/>
          </w:tcPr>
          <w:p w14:paraId="7CD78BD5" w14:textId="77777777" w:rsidR="00771B32" w:rsidRPr="00CD29C5" w:rsidRDefault="00771B32" w:rsidP="00771B32">
            <w:pPr>
              <w:jc w:val="left"/>
            </w:pPr>
            <w:r w:rsidRPr="00CD29C5">
              <w:t>Product J</w:t>
            </w:r>
          </w:p>
        </w:tc>
        <w:tc>
          <w:tcPr>
            <w:tcW w:w="1602" w:type="dxa"/>
            <w:noWrap/>
            <w:vAlign w:val="bottom"/>
            <w:hideMark/>
          </w:tcPr>
          <w:p w14:paraId="741C664F" w14:textId="70625A6C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175.9K</w:t>
            </w:r>
          </w:p>
        </w:tc>
        <w:tc>
          <w:tcPr>
            <w:tcW w:w="1440" w:type="dxa"/>
            <w:noWrap/>
            <w:vAlign w:val="bottom"/>
            <w:hideMark/>
          </w:tcPr>
          <w:p w14:paraId="008DCF54" w14:textId="483164E2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189.5K</w:t>
            </w:r>
          </w:p>
        </w:tc>
        <w:tc>
          <w:tcPr>
            <w:tcW w:w="1530" w:type="dxa"/>
            <w:noWrap/>
            <w:vAlign w:val="bottom"/>
            <w:hideMark/>
          </w:tcPr>
          <w:p w14:paraId="5B5768E9" w14:textId="2DE5F798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149.7K</w:t>
            </w:r>
          </w:p>
        </w:tc>
        <w:tc>
          <w:tcPr>
            <w:tcW w:w="1710" w:type="dxa"/>
            <w:noWrap/>
            <w:vAlign w:val="bottom"/>
            <w:hideMark/>
          </w:tcPr>
          <w:p w14:paraId="4360909B" w14:textId="562792CA" w:rsidR="00771B32" w:rsidRPr="00771B32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771B32">
              <w:rPr>
                <w:rFonts w:cs="Times New Roman"/>
                <w:color w:val="000000"/>
                <w:sz w:val="22"/>
              </w:rPr>
              <w:t>155.4K</w:t>
            </w:r>
          </w:p>
        </w:tc>
        <w:tc>
          <w:tcPr>
            <w:tcW w:w="1260" w:type="dxa"/>
            <w:noWrap/>
            <w:hideMark/>
          </w:tcPr>
          <w:p w14:paraId="6A986711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-15%</w:t>
            </w:r>
          </w:p>
        </w:tc>
        <w:tc>
          <w:tcPr>
            <w:tcW w:w="1459" w:type="dxa"/>
            <w:noWrap/>
            <w:hideMark/>
          </w:tcPr>
          <w:p w14:paraId="73B6F26E" w14:textId="77777777" w:rsidR="00771B32" w:rsidRPr="00CD29C5" w:rsidRDefault="00771B32" w:rsidP="00771B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29C5">
              <w:t>96%</w:t>
            </w:r>
          </w:p>
        </w:tc>
      </w:tr>
    </w:tbl>
    <w:p w14:paraId="6E2950C6" w14:textId="00659824" w:rsidR="00956386" w:rsidRDefault="00956386" w:rsidP="00956386">
      <w:pPr>
        <w:pStyle w:val="ListParagraph"/>
        <w:numPr>
          <w:ilvl w:val="0"/>
          <w:numId w:val="4"/>
        </w:numPr>
      </w:pPr>
      <w:r>
        <w:t>Product H grew the most with a +33% increase</w:t>
      </w:r>
      <w:r w:rsidR="00925919">
        <w:t xml:space="preserve"> (as seen in Figure 3.1)</w:t>
      </w:r>
      <w:r w:rsidR="00E40C71">
        <w:t xml:space="preserve">, </w:t>
      </w:r>
      <w:r>
        <w:t>a significant surge in demand</w:t>
      </w:r>
      <w:r w:rsidR="001660EB">
        <w:t>,</w:t>
      </w:r>
      <w:r>
        <w:t xml:space="preserve"> while Product C (+21%), F (+13%), and E (+11%) also performed strongly.</w:t>
      </w:r>
    </w:p>
    <w:p w14:paraId="2F63091C" w14:textId="43AE8304" w:rsidR="00536B50" w:rsidRDefault="00956386" w:rsidP="00956386">
      <w:pPr>
        <w:pStyle w:val="ListParagraph"/>
        <w:numPr>
          <w:ilvl w:val="0"/>
          <w:numId w:val="4"/>
        </w:numPr>
      </w:pPr>
      <w:r>
        <w:t>Only Product E surpassed its Q2 target (103%)</w:t>
      </w:r>
      <w:r w:rsidR="001660EB">
        <w:t>,</w:t>
      </w:r>
      <w:r>
        <w:t xml:space="preserve"> indicating under-target performance overall despite growth in several products.</w:t>
      </w:r>
    </w:p>
    <w:p w14:paraId="7A296529" w14:textId="4124D6B6" w:rsidR="00536B50" w:rsidRDefault="00956386" w:rsidP="00F270F3">
      <w:pPr>
        <w:pStyle w:val="ListParagraph"/>
        <w:numPr>
          <w:ilvl w:val="0"/>
          <w:numId w:val="4"/>
        </w:numPr>
      </w:pPr>
      <w:r>
        <w:t>Product D saw the steepest decline at -30%, despite meeting 98% of its target</w:t>
      </w:r>
      <w:r w:rsidR="001660EB">
        <w:t>,</w:t>
      </w:r>
      <w:r>
        <w:t xml:space="preserve"> possibly due to conservative targets or fading popularity.</w:t>
      </w:r>
    </w:p>
    <w:p w14:paraId="0555FDEB" w14:textId="38E667D0" w:rsidR="00F270F3" w:rsidRPr="00F270F3" w:rsidRDefault="00956386" w:rsidP="00F270F3">
      <w:pPr>
        <w:pStyle w:val="ListParagraph"/>
        <w:numPr>
          <w:ilvl w:val="0"/>
          <w:numId w:val="4"/>
        </w:numPr>
      </w:pPr>
      <w:r>
        <w:t>Products J, I, G, and B also had negative growth, suggesting a review is needed.</w:t>
      </w:r>
    </w:p>
    <w:p w14:paraId="152C740F" w14:textId="77777777" w:rsidR="00F270F3" w:rsidRPr="00F270F3" w:rsidRDefault="00F270F3" w:rsidP="00F270F3"/>
    <w:p w14:paraId="43FCE18F" w14:textId="61C1E674" w:rsidR="00CE108C" w:rsidRPr="00CE108C" w:rsidRDefault="00536B50" w:rsidP="00CE108C">
      <w:pPr>
        <w:pStyle w:val="Heading2"/>
        <w:rPr>
          <w:rFonts w:eastAsia="MS Gothic"/>
          <w:lang w:val="en-US"/>
        </w:rPr>
      </w:pPr>
      <w:r>
        <w:rPr>
          <w:rFonts w:eastAsia="MS Gothic"/>
          <w:lang w:val="en-US"/>
        </w:rPr>
        <w:t>3</w:t>
      </w:r>
      <w:r w:rsidR="00CE108C">
        <w:rPr>
          <w:rFonts w:eastAsia="MS Gothic"/>
          <w:lang w:val="en-US"/>
        </w:rPr>
        <w:t xml:space="preserve">.2 </w:t>
      </w:r>
      <w:r>
        <w:rPr>
          <w:rFonts w:eastAsia="MS Gothic"/>
          <w:lang w:val="en-US"/>
        </w:rPr>
        <w:tab/>
      </w:r>
      <w:r w:rsidR="00CE108C" w:rsidRPr="00CE108C">
        <w:rPr>
          <w:rFonts w:eastAsia="MS Gothic"/>
          <w:lang w:val="en-US"/>
        </w:rPr>
        <w:t>Regional Sales Performance Analysis</w:t>
      </w:r>
    </w:p>
    <w:p w14:paraId="5765F5A7" w14:textId="77777777" w:rsidR="00CE108C" w:rsidRDefault="00CE108C" w:rsidP="00CE108C">
      <w:pPr>
        <w:spacing w:after="200" w:line="276" w:lineRule="auto"/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</w:pPr>
      <w:r w:rsidRPr="00CE108C">
        <w:rPr>
          <w:rFonts w:ascii="Cambria" w:eastAsia="MS Mincho" w:hAnsi="Cambria" w:cs="Times New Roman"/>
          <w:kern w:val="0"/>
          <w:sz w:val="22"/>
          <w:lang w:val="en-US"/>
          <w14:ligatures w14:val="none"/>
        </w:rPr>
        <w:t>This section presents the sales performance across different regions over the first two quarters. It evaluates revenue growth and the extent to which each region met its Q2 targets.</w:t>
      </w:r>
    </w:p>
    <w:p w14:paraId="5EC9CF3D" w14:textId="77777777" w:rsidR="006F63A2" w:rsidRDefault="0009729B" w:rsidP="006F63A2">
      <w:pPr>
        <w:keepNext/>
        <w:spacing w:after="200" w:line="276" w:lineRule="auto"/>
      </w:pPr>
      <w:r>
        <w:rPr>
          <w:noProof/>
        </w:rPr>
        <w:drawing>
          <wp:inline distT="0" distB="0" distL="0" distR="0" wp14:anchorId="56247528" wp14:editId="7B58B336">
            <wp:extent cx="5063778" cy="2397125"/>
            <wp:effectExtent l="0" t="0" r="3810" b="3175"/>
            <wp:docPr id="189792426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AF929A-E6C3-506C-3EFB-BB0E1B09D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9A2247" w14:textId="0D21D53D" w:rsidR="002E56E1" w:rsidRPr="002E56E1" w:rsidRDefault="006F63A2" w:rsidP="002E56E1">
      <w:pPr>
        <w:pStyle w:val="Caption"/>
      </w:pPr>
      <w:r>
        <w:t xml:space="preserve">Figure 3. </w:t>
      </w:r>
      <w:r>
        <w:fldChar w:fldCharType="begin"/>
      </w:r>
      <w:r>
        <w:instrText xml:space="preserve"> SEQ Figure_3.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Chart of Units Sold for every Month</w:t>
      </w:r>
    </w:p>
    <w:p w14:paraId="7852B99B" w14:textId="77777777" w:rsidR="006F63A2" w:rsidRDefault="00D436E2" w:rsidP="006F63A2">
      <w:pPr>
        <w:keepNext/>
        <w:spacing w:after="200" w:line="276" w:lineRule="auto"/>
      </w:pPr>
      <w:r>
        <w:rPr>
          <w:noProof/>
        </w:rPr>
        <w:lastRenderedPageBreak/>
        <w:drawing>
          <wp:inline distT="0" distB="0" distL="0" distR="0" wp14:anchorId="20256D69" wp14:editId="06F370FF">
            <wp:extent cx="5943600" cy="2919933"/>
            <wp:effectExtent l="0" t="0" r="0" b="13970"/>
            <wp:docPr id="1124759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298F2B-CB20-17DB-0254-4DCD4E28FB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80B122" w14:textId="286A3D95" w:rsidR="003E4A21" w:rsidRDefault="006F63A2" w:rsidP="006F63A2">
      <w:pPr>
        <w:pStyle w:val="Caption"/>
      </w:pPr>
      <w:r>
        <w:t xml:space="preserve">Figure 3. </w:t>
      </w:r>
      <w:r>
        <w:fldChar w:fldCharType="begin"/>
      </w:r>
      <w:r>
        <w:instrText xml:space="preserve"> SEQ Figure_3.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>
        <w:t>Chart showing the regional sales performance for each product</w:t>
      </w:r>
    </w:p>
    <w:p w14:paraId="79D37278" w14:textId="770CD110" w:rsidR="00536B50" w:rsidRDefault="00536B50" w:rsidP="00D436E2">
      <w:pPr>
        <w:pStyle w:val="ListParagraph"/>
        <w:numPr>
          <w:ilvl w:val="0"/>
          <w:numId w:val="5"/>
        </w:numPr>
      </w:pPr>
      <w:r>
        <w:t>Central leads with ₦522.86K in total sales, followed closely by North and South.</w:t>
      </w:r>
    </w:p>
    <w:p w14:paraId="2CA47CF0" w14:textId="77777777" w:rsidR="00D436E2" w:rsidRDefault="00536B50" w:rsidP="00536B50">
      <w:pPr>
        <w:pStyle w:val="ListParagraph"/>
        <w:numPr>
          <w:ilvl w:val="0"/>
          <w:numId w:val="5"/>
        </w:numPr>
      </w:pPr>
      <w:r>
        <w:t>Product B excels in West (₦70.36K) and North (₦67.43K)</w:t>
      </w:r>
      <w:r w:rsidR="00D436E2">
        <w:t>, P</w:t>
      </w:r>
      <w:r>
        <w:t>roduct E is strong in Online (₦63.20K) and West (₦58.17K)</w:t>
      </w:r>
      <w:r w:rsidR="00D436E2">
        <w:t xml:space="preserve"> and </w:t>
      </w:r>
      <w:r>
        <w:t>Product H, a high-growth product, performs best in Central (₦68.39K) and Online (₦62.38K).</w:t>
      </w:r>
    </w:p>
    <w:p w14:paraId="6056AF88" w14:textId="77777777" w:rsidR="00D436E2" w:rsidRDefault="00536B50" w:rsidP="00536B50">
      <w:pPr>
        <w:pStyle w:val="ListParagraph"/>
        <w:numPr>
          <w:ilvl w:val="0"/>
          <w:numId w:val="5"/>
        </w:numPr>
      </w:pPr>
      <w:r>
        <w:t>Product C saw low revenue in South (₦27.01K), despite growing 21%.</w:t>
      </w:r>
    </w:p>
    <w:p w14:paraId="79E7CA68" w14:textId="10E01EDB" w:rsidR="00D436E2" w:rsidRDefault="00536B50" w:rsidP="00536B50">
      <w:pPr>
        <w:pStyle w:val="ListParagraph"/>
        <w:numPr>
          <w:ilvl w:val="0"/>
          <w:numId w:val="5"/>
        </w:numPr>
      </w:pPr>
      <w:r>
        <w:t xml:space="preserve">Product D, which had -30% growth, still recorded high revenue in </w:t>
      </w:r>
      <w:r w:rsidR="0096577B">
        <w:t xml:space="preserve">the </w:t>
      </w:r>
      <w:r>
        <w:t xml:space="preserve">Central and South </w:t>
      </w:r>
      <w:r w:rsidR="0096577B">
        <w:t>regions.</w:t>
      </w:r>
      <w:r>
        <w:t xml:space="preserve"> </w:t>
      </w:r>
      <w:r w:rsidR="0096577B">
        <w:t>T</w:t>
      </w:r>
      <w:r>
        <w:t>his suggests reliance on a few strong markets.</w:t>
      </w:r>
    </w:p>
    <w:p w14:paraId="7E667CD0" w14:textId="0438784D" w:rsidR="00396641" w:rsidRDefault="00396641" w:rsidP="00536B50">
      <w:pPr>
        <w:pStyle w:val="ListParagraph"/>
        <w:numPr>
          <w:ilvl w:val="0"/>
          <w:numId w:val="5"/>
        </w:numPr>
      </w:pPr>
      <w:r>
        <w:t>47,646 total units were sold in Q2 compared to 51,211 in Q1.</w:t>
      </w:r>
      <w:r w:rsidR="00485F86">
        <w:t xml:space="preserve"> The highest total units sold was in the </w:t>
      </w:r>
      <w:r w:rsidR="00D72FD5">
        <w:t>E</w:t>
      </w:r>
      <w:r w:rsidR="00485F86">
        <w:t>ast</w:t>
      </w:r>
      <w:r w:rsidR="00D72FD5">
        <w:t xml:space="preserve"> (</w:t>
      </w:r>
      <w:r w:rsidR="00D72FD5" w:rsidRPr="00D72FD5">
        <w:t>17773</w:t>
      </w:r>
      <w:r w:rsidR="00D72FD5">
        <w:t>)</w:t>
      </w:r>
      <w:r w:rsidR="006368F6">
        <w:t>,</w:t>
      </w:r>
      <w:r w:rsidR="00485F86">
        <w:t xml:space="preserve"> with the fewest units sold in the </w:t>
      </w:r>
      <w:r w:rsidR="00D72FD5">
        <w:t>W</w:t>
      </w:r>
      <w:r w:rsidR="00485F86">
        <w:t>est</w:t>
      </w:r>
      <w:r w:rsidR="00D72FD5">
        <w:t xml:space="preserve"> (</w:t>
      </w:r>
      <w:r w:rsidR="00D72FD5" w:rsidRPr="00D72FD5">
        <w:t>14789</w:t>
      </w:r>
      <w:r w:rsidR="00D72FD5">
        <w:t>)</w:t>
      </w:r>
      <w:r w:rsidR="0052691F">
        <w:t>- Figure 3.2</w:t>
      </w:r>
      <w:r w:rsidR="00485F86">
        <w:t>.</w:t>
      </w:r>
    </w:p>
    <w:p w14:paraId="6F81BA75" w14:textId="407BCB90" w:rsidR="00F270F3" w:rsidRPr="00F270F3" w:rsidRDefault="00D436E2" w:rsidP="00536B50">
      <w:pPr>
        <w:pStyle w:val="ListParagraph"/>
        <w:numPr>
          <w:ilvl w:val="0"/>
          <w:numId w:val="5"/>
        </w:numPr>
      </w:pPr>
      <w:r>
        <w:t xml:space="preserve">The </w:t>
      </w:r>
      <w:r w:rsidR="00E14537">
        <w:t>O</w:t>
      </w:r>
      <w:r>
        <w:t>nline channel is</w:t>
      </w:r>
      <w:r w:rsidR="00536B50">
        <w:t xml:space="preserve"> strong for Products E and H</w:t>
      </w:r>
      <w:r w:rsidR="00BF67A6">
        <w:t xml:space="preserve"> (Figure 3.3)</w:t>
      </w:r>
      <w:r w:rsidR="00536B50">
        <w:t xml:space="preserve">, which are all </w:t>
      </w:r>
      <w:proofErr w:type="gramStart"/>
      <w:r w:rsidR="0011097D">
        <w:t>high-growth</w:t>
      </w:r>
      <w:proofErr w:type="gramEnd"/>
      <w:r w:rsidR="00536B50">
        <w:t>.</w:t>
      </w:r>
      <w:r>
        <w:t xml:space="preserve"> </w:t>
      </w:r>
      <w:r w:rsidR="00A73113">
        <w:t>Leveraging</w:t>
      </w:r>
      <w:r w:rsidR="00536B50">
        <w:t xml:space="preserve"> the Online channel for high-performing products</w:t>
      </w:r>
      <w:r w:rsidR="00A73113">
        <w:t xml:space="preserve"> should be considered</w:t>
      </w:r>
      <w:r w:rsidR="0096577B">
        <w:t>.</w:t>
      </w:r>
    </w:p>
    <w:p w14:paraId="235472DF" w14:textId="776ADF55" w:rsidR="00E019A4" w:rsidRDefault="00F87B18" w:rsidP="00F87B18">
      <w:pPr>
        <w:pStyle w:val="Heading1"/>
      </w:pPr>
      <w:r>
        <w:t>4.0 Key recommendations</w:t>
      </w:r>
    </w:p>
    <w:p w14:paraId="13DC0DCF" w14:textId="77777777" w:rsidR="00384F57" w:rsidRDefault="00F87B18" w:rsidP="00F87B18">
      <w:pPr>
        <w:pStyle w:val="ListParagraph"/>
        <w:numPr>
          <w:ilvl w:val="0"/>
          <w:numId w:val="6"/>
        </w:numPr>
      </w:pPr>
      <w:r>
        <w:t>Overall Revenue Performance: Total revenue increased in Q2, with five products (H, C, F, E, A) achieving double-digit growth. However, five others saw declines, most notably Product D (-30%).</w:t>
      </w:r>
      <w:r w:rsidR="00384F57">
        <w:t xml:space="preserve"> </w:t>
      </w:r>
    </w:p>
    <w:p w14:paraId="1D362FCD" w14:textId="098D7C09" w:rsidR="00F87B18" w:rsidRDefault="00384F57" w:rsidP="00384F57">
      <w:pPr>
        <w:pStyle w:val="ListParagraph"/>
        <w:numPr>
          <w:ilvl w:val="0"/>
          <w:numId w:val="7"/>
        </w:numPr>
      </w:pPr>
      <w:r w:rsidRPr="00384F57">
        <w:rPr>
          <w:b/>
          <w:bCs/>
        </w:rPr>
        <w:t>Review underperforming products</w:t>
      </w:r>
      <w:r w:rsidRPr="00384F57">
        <w:t xml:space="preserve"> like Product D and J for viability or marketing gaps.</w:t>
      </w:r>
    </w:p>
    <w:p w14:paraId="292CD1FA" w14:textId="7CDFA527" w:rsidR="00F87B18" w:rsidRDefault="00F87B18" w:rsidP="00F87B18">
      <w:pPr>
        <w:pStyle w:val="ListParagraph"/>
        <w:numPr>
          <w:ilvl w:val="0"/>
          <w:numId w:val="6"/>
        </w:numPr>
      </w:pPr>
      <w:r>
        <w:t>Target Achievement: Only one product (Product E) exceeded its Q2 sales target. Most others achieved between 91% and 99%, indicating solid performance but slight under-delivery overall.</w:t>
      </w:r>
    </w:p>
    <w:p w14:paraId="1A1EE31A" w14:textId="425936FC" w:rsidR="00384F57" w:rsidRDefault="00384F57" w:rsidP="00384F57">
      <w:pPr>
        <w:pStyle w:val="ListParagraph"/>
        <w:numPr>
          <w:ilvl w:val="0"/>
          <w:numId w:val="7"/>
        </w:numPr>
        <w:spacing w:after="0"/>
      </w:pPr>
      <w:r w:rsidRPr="00384F57">
        <w:rPr>
          <w:b/>
          <w:bCs/>
        </w:rPr>
        <w:t>Adjust forecasting models</w:t>
      </w:r>
      <w:r w:rsidRPr="00384F57">
        <w:t xml:space="preserve"> to align better with observed trends, especially for high-growth products missing their targets.</w:t>
      </w:r>
    </w:p>
    <w:p w14:paraId="1C7EC719" w14:textId="77777777" w:rsidR="00384F57" w:rsidRPr="00384F57" w:rsidRDefault="00384F57" w:rsidP="00384F57">
      <w:pPr>
        <w:numPr>
          <w:ilvl w:val="0"/>
          <w:numId w:val="7"/>
        </w:numPr>
        <w:spacing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384F57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Capitalize on digital channels</w:t>
      </w:r>
      <w:r w:rsidRPr="00384F57">
        <w:rPr>
          <w:rFonts w:eastAsia="Times New Roman" w:cs="Times New Roman"/>
          <w:kern w:val="0"/>
          <w:szCs w:val="24"/>
          <w:lang w:eastAsia="en-GB"/>
          <w14:ligatures w14:val="none"/>
        </w:rPr>
        <w:t xml:space="preserve"> and reinforce growth in stable regions like East and Online.</w:t>
      </w:r>
    </w:p>
    <w:p w14:paraId="52CCE14C" w14:textId="1769897F" w:rsidR="00EB456E" w:rsidRPr="002E56E1" w:rsidRDefault="00384F57" w:rsidP="00CE10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:lang w:eastAsia="en-GB"/>
          <w14:ligatures w14:val="none"/>
        </w:rPr>
      </w:pPr>
      <w:r w:rsidRPr="00384F57">
        <w:rPr>
          <w:rFonts w:eastAsia="Times New Roman" w:cs="Times New Roman"/>
          <w:b/>
          <w:bCs/>
          <w:kern w:val="0"/>
          <w:szCs w:val="24"/>
          <w:lang w:eastAsia="en-GB"/>
          <w14:ligatures w14:val="none"/>
        </w:rPr>
        <w:t>Continue monitoring target alignment</w:t>
      </w:r>
      <w:r w:rsidRPr="00384F57">
        <w:rPr>
          <w:rFonts w:eastAsia="Times New Roman" w:cs="Times New Roman"/>
          <w:kern w:val="0"/>
          <w:szCs w:val="24"/>
          <w:lang w:eastAsia="en-GB"/>
          <w14:ligatures w14:val="none"/>
        </w:rPr>
        <w:t>, ensuring ambitious yet realistic sales goals.</w:t>
      </w:r>
    </w:p>
    <w:sectPr w:rsidR="00EB456E" w:rsidRPr="002E56E1" w:rsidSect="0029208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5805A" w14:textId="77777777" w:rsidR="00AC06F3" w:rsidRDefault="00AC06F3" w:rsidP="00706A94">
      <w:pPr>
        <w:spacing w:after="0" w:line="240" w:lineRule="auto"/>
      </w:pPr>
      <w:r>
        <w:separator/>
      </w:r>
    </w:p>
  </w:endnote>
  <w:endnote w:type="continuationSeparator" w:id="0">
    <w:p w14:paraId="0CBAECEA" w14:textId="77777777" w:rsidR="00AC06F3" w:rsidRDefault="00AC06F3" w:rsidP="0070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34FD1" w14:textId="7385639C" w:rsidR="00706A94" w:rsidRDefault="00706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EF77A" w14:textId="77777777" w:rsidR="00AC06F3" w:rsidRDefault="00AC06F3" w:rsidP="00706A94">
      <w:pPr>
        <w:spacing w:after="0" w:line="240" w:lineRule="auto"/>
      </w:pPr>
      <w:r>
        <w:separator/>
      </w:r>
    </w:p>
  </w:footnote>
  <w:footnote w:type="continuationSeparator" w:id="0">
    <w:p w14:paraId="33047895" w14:textId="77777777" w:rsidR="00AC06F3" w:rsidRDefault="00AC06F3" w:rsidP="00706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B1D9F"/>
    <w:multiLevelType w:val="multilevel"/>
    <w:tmpl w:val="2B58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779DB"/>
    <w:multiLevelType w:val="hybridMultilevel"/>
    <w:tmpl w:val="1B1AFA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B0320"/>
    <w:multiLevelType w:val="hybridMultilevel"/>
    <w:tmpl w:val="1CB23E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A9617B"/>
    <w:multiLevelType w:val="hybridMultilevel"/>
    <w:tmpl w:val="062039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01ECA"/>
    <w:multiLevelType w:val="multilevel"/>
    <w:tmpl w:val="E85CAF1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B3663E1"/>
    <w:multiLevelType w:val="hybridMultilevel"/>
    <w:tmpl w:val="06AAF1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18543F"/>
    <w:multiLevelType w:val="hybridMultilevel"/>
    <w:tmpl w:val="D6ECAB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887B1C"/>
    <w:multiLevelType w:val="multilevel"/>
    <w:tmpl w:val="87C28CAC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597979415">
    <w:abstractNumId w:val="7"/>
  </w:num>
  <w:num w:numId="2" w16cid:durableId="1078552049">
    <w:abstractNumId w:val="1"/>
  </w:num>
  <w:num w:numId="3" w16cid:durableId="620919332">
    <w:abstractNumId w:val="4"/>
  </w:num>
  <w:num w:numId="4" w16cid:durableId="720206614">
    <w:abstractNumId w:val="5"/>
  </w:num>
  <w:num w:numId="5" w16cid:durableId="707026561">
    <w:abstractNumId w:val="3"/>
  </w:num>
  <w:num w:numId="6" w16cid:durableId="1138182810">
    <w:abstractNumId w:val="2"/>
  </w:num>
  <w:num w:numId="7" w16cid:durableId="994138800">
    <w:abstractNumId w:val="6"/>
  </w:num>
  <w:num w:numId="8" w16cid:durableId="181956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D7"/>
    <w:rsid w:val="00017BA3"/>
    <w:rsid w:val="00087D91"/>
    <w:rsid w:val="0009729B"/>
    <w:rsid w:val="000E1D08"/>
    <w:rsid w:val="00100C32"/>
    <w:rsid w:val="0011097D"/>
    <w:rsid w:val="00112B51"/>
    <w:rsid w:val="001660EB"/>
    <w:rsid w:val="00196433"/>
    <w:rsid w:val="00236B9C"/>
    <w:rsid w:val="0025291A"/>
    <w:rsid w:val="00263163"/>
    <w:rsid w:val="0029208B"/>
    <w:rsid w:val="002E56E1"/>
    <w:rsid w:val="0033360A"/>
    <w:rsid w:val="00362343"/>
    <w:rsid w:val="00384F57"/>
    <w:rsid w:val="00384FFF"/>
    <w:rsid w:val="00394D93"/>
    <w:rsid w:val="00396641"/>
    <w:rsid w:val="00396FDC"/>
    <w:rsid w:val="003A74C8"/>
    <w:rsid w:val="003B494F"/>
    <w:rsid w:val="003B50D7"/>
    <w:rsid w:val="003D1949"/>
    <w:rsid w:val="003E4A21"/>
    <w:rsid w:val="00485F86"/>
    <w:rsid w:val="00493818"/>
    <w:rsid w:val="004F57BF"/>
    <w:rsid w:val="0052691F"/>
    <w:rsid w:val="00536B50"/>
    <w:rsid w:val="00600AA7"/>
    <w:rsid w:val="006368F6"/>
    <w:rsid w:val="006E4106"/>
    <w:rsid w:val="006F63A2"/>
    <w:rsid w:val="00706A94"/>
    <w:rsid w:val="007103DB"/>
    <w:rsid w:val="007133E4"/>
    <w:rsid w:val="007326C8"/>
    <w:rsid w:val="0074181A"/>
    <w:rsid w:val="00771B32"/>
    <w:rsid w:val="007C77F4"/>
    <w:rsid w:val="00925919"/>
    <w:rsid w:val="00943B4B"/>
    <w:rsid w:val="00956386"/>
    <w:rsid w:val="0096577B"/>
    <w:rsid w:val="009A43B7"/>
    <w:rsid w:val="009E0041"/>
    <w:rsid w:val="00A40C27"/>
    <w:rsid w:val="00A668FD"/>
    <w:rsid w:val="00A73113"/>
    <w:rsid w:val="00A76423"/>
    <w:rsid w:val="00AA1E72"/>
    <w:rsid w:val="00AA4861"/>
    <w:rsid w:val="00AC06F3"/>
    <w:rsid w:val="00B018B4"/>
    <w:rsid w:val="00B112A7"/>
    <w:rsid w:val="00B75885"/>
    <w:rsid w:val="00BF67A6"/>
    <w:rsid w:val="00C2022F"/>
    <w:rsid w:val="00C4702A"/>
    <w:rsid w:val="00C556BF"/>
    <w:rsid w:val="00C77F4C"/>
    <w:rsid w:val="00C8603C"/>
    <w:rsid w:val="00CB1610"/>
    <w:rsid w:val="00CD29C5"/>
    <w:rsid w:val="00CE108C"/>
    <w:rsid w:val="00D01320"/>
    <w:rsid w:val="00D23D49"/>
    <w:rsid w:val="00D3110C"/>
    <w:rsid w:val="00D436E2"/>
    <w:rsid w:val="00D5377E"/>
    <w:rsid w:val="00D72FD5"/>
    <w:rsid w:val="00DF1F1C"/>
    <w:rsid w:val="00E019A4"/>
    <w:rsid w:val="00E14537"/>
    <w:rsid w:val="00E40C71"/>
    <w:rsid w:val="00E677DA"/>
    <w:rsid w:val="00EB456E"/>
    <w:rsid w:val="00EC1322"/>
    <w:rsid w:val="00F270F3"/>
    <w:rsid w:val="00F8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20A3B"/>
  <w15:chartTrackingRefBased/>
  <w15:docId w15:val="{99923A1F-9E1C-40F3-865E-E5F5E570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B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3818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81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022F"/>
    <w:pPr>
      <w:spacing w:after="200" w:line="240" w:lineRule="auto"/>
    </w:pPr>
    <w:rPr>
      <w:i/>
      <w:iCs/>
      <w:color w:val="000000" w:themeColor="text1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3818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38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A4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A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0D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D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D29C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B75885"/>
    <w:rPr>
      <w:b/>
      <w:bCs/>
    </w:rPr>
  </w:style>
  <w:style w:type="table" w:styleId="PlainTable4">
    <w:name w:val="Plain Table 4"/>
    <w:basedOn w:val="TableNormal"/>
    <w:uiPriority w:val="44"/>
    <w:rsid w:val="00A668F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0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A9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06A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A9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CaseStudyB_Sales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CaseStudyB_Sales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CaseStudyB_Sales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[CaseStudyB_SalesSummary.xlsx]CaseStudyB_SalesSummary!PivotTable3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30348905697811396"/>
          <c:y val="0.11454570213311333"/>
          <c:w val="0.50162819214527321"/>
          <c:h val="0.810920557615954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CaseStudyB_SalesSummary!$I$19</c:f>
              <c:strCache>
                <c:ptCount val="1"/>
                <c:pt idx="0">
                  <c:v>Sum of Q2 Revenue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CaseStudyB_SalesSummary!$H$20:$H$30</c:f>
              <c:strCache>
                <c:ptCount val="10"/>
                <c:pt idx="0">
                  <c:v>Product D</c:v>
                </c:pt>
                <c:pt idx="1">
                  <c:v>Product G</c:v>
                </c:pt>
                <c:pt idx="2">
                  <c:v>Product I</c:v>
                </c:pt>
                <c:pt idx="3">
                  <c:v>Product F</c:v>
                </c:pt>
                <c:pt idx="4">
                  <c:v>Product B</c:v>
                </c:pt>
                <c:pt idx="5">
                  <c:v>Product J</c:v>
                </c:pt>
                <c:pt idx="6">
                  <c:v>Product C</c:v>
                </c:pt>
                <c:pt idx="7">
                  <c:v>Product A</c:v>
                </c:pt>
                <c:pt idx="8">
                  <c:v>Product E</c:v>
                </c:pt>
                <c:pt idx="9">
                  <c:v>Product H</c:v>
                </c:pt>
              </c:strCache>
            </c:strRef>
          </c:cat>
          <c:val>
            <c:numRef>
              <c:f>CaseStudyB_SalesSummary!$I$20:$I$30</c:f>
              <c:numCache>
                <c:formatCode>_-[$₦-466]\ * #,##0.00_-;\-[$₦-466]\ * #,##0.00_-;_-[$₦-466]\ * "-"??_-;_-@_-</c:formatCode>
                <c:ptCount val="10"/>
                <c:pt idx="0">
                  <c:v>115494.43999999999</c:v>
                </c:pt>
                <c:pt idx="1">
                  <c:v>123985.43999999999</c:v>
                </c:pt>
                <c:pt idx="2">
                  <c:v>135414.54</c:v>
                </c:pt>
                <c:pt idx="3">
                  <c:v>140629.06</c:v>
                </c:pt>
                <c:pt idx="4">
                  <c:v>144830.98000000004</c:v>
                </c:pt>
                <c:pt idx="5">
                  <c:v>149655.20000000001</c:v>
                </c:pt>
                <c:pt idx="6">
                  <c:v>154696.48000000001</c:v>
                </c:pt>
                <c:pt idx="7">
                  <c:v>160476.72999999998</c:v>
                </c:pt>
                <c:pt idx="8">
                  <c:v>167397.17000000001</c:v>
                </c:pt>
                <c:pt idx="9">
                  <c:v>180346.68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D4-46F4-B54A-72C229EE38DD}"/>
            </c:ext>
          </c:extLst>
        </c:ser>
        <c:ser>
          <c:idx val="1"/>
          <c:order val="1"/>
          <c:tx>
            <c:strRef>
              <c:f>CaseStudyB_SalesSummary!$J$19</c:f>
              <c:strCache>
                <c:ptCount val="1"/>
                <c:pt idx="0">
                  <c:v>Sum of Q2 Target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CaseStudyB_SalesSummary!$H$20:$H$30</c:f>
              <c:strCache>
                <c:ptCount val="10"/>
                <c:pt idx="0">
                  <c:v>Product D</c:v>
                </c:pt>
                <c:pt idx="1">
                  <c:v>Product G</c:v>
                </c:pt>
                <c:pt idx="2">
                  <c:v>Product I</c:v>
                </c:pt>
                <c:pt idx="3">
                  <c:v>Product F</c:v>
                </c:pt>
                <c:pt idx="4">
                  <c:v>Product B</c:v>
                </c:pt>
                <c:pt idx="5">
                  <c:v>Product J</c:v>
                </c:pt>
                <c:pt idx="6">
                  <c:v>Product C</c:v>
                </c:pt>
                <c:pt idx="7">
                  <c:v>Product A</c:v>
                </c:pt>
                <c:pt idx="8">
                  <c:v>Product E</c:v>
                </c:pt>
                <c:pt idx="9">
                  <c:v>Product H</c:v>
                </c:pt>
              </c:strCache>
            </c:strRef>
          </c:cat>
          <c:val>
            <c:numRef>
              <c:f>CaseStudyB_SalesSummary!$J$20:$J$30</c:f>
              <c:numCache>
                <c:formatCode>_-[$₦-466]\ * #,##0.00_-;\-[$₦-466]\ * #,##0.00_-;_-[$₦-466]\ * "-"??_-;_-@_-</c:formatCode>
                <c:ptCount val="10"/>
                <c:pt idx="0">
                  <c:v>117759.8</c:v>
                </c:pt>
                <c:pt idx="1">
                  <c:v>131509.72</c:v>
                </c:pt>
                <c:pt idx="2">
                  <c:v>143804.91</c:v>
                </c:pt>
                <c:pt idx="3">
                  <c:v>142091.34999999998</c:v>
                </c:pt>
                <c:pt idx="4">
                  <c:v>152299.4</c:v>
                </c:pt>
                <c:pt idx="5">
                  <c:v>155448.97999999998</c:v>
                </c:pt>
                <c:pt idx="6">
                  <c:v>165745.45000000001</c:v>
                </c:pt>
                <c:pt idx="7">
                  <c:v>170586.87999999998</c:v>
                </c:pt>
                <c:pt idx="8">
                  <c:v>162862.29000000007</c:v>
                </c:pt>
                <c:pt idx="9">
                  <c:v>197559.58000000005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D4-46F4-B54A-72C229EE3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549016"/>
        <c:axId val="643549376"/>
      </c:barChart>
      <c:catAx>
        <c:axId val="6435490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49376"/>
        <c:crosses val="autoZero"/>
        <c:auto val="1"/>
        <c:lblAlgn val="ctr"/>
        <c:lblOffset val="100"/>
        <c:noMultiLvlLbl val="0"/>
      </c:catAx>
      <c:valAx>
        <c:axId val="643549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,&quot;K&quot;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49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[CaseStudyB_SalesSummary.xlsx]Sheet6!PivotTable7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Sheet6!$J$5:$J$6</c:f>
              <c:strCache>
                <c:ptCount val="1"/>
                <c:pt idx="0">
                  <c:v>Central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Sheet6!$J$7:$J$13</c:f>
              <c:numCache>
                <c:formatCode>General</c:formatCode>
                <c:ptCount val="6"/>
                <c:pt idx="0">
                  <c:v>2336</c:v>
                </c:pt>
                <c:pt idx="1">
                  <c:v>2960</c:v>
                </c:pt>
                <c:pt idx="2">
                  <c:v>2259</c:v>
                </c:pt>
                <c:pt idx="3">
                  <c:v>3612</c:v>
                </c:pt>
                <c:pt idx="4">
                  <c:v>3100</c:v>
                </c:pt>
                <c:pt idx="5">
                  <c:v>3380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F-4A1B-9AEB-A0FB3EB5C998}"/>
            </c:ext>
          </c:extLst>
        </c:ser>
        <c:ser>
          <c:idx val="1"/>
          <c:order val="1"/>
          <c:tx>
            <c:strRef>
              <c:f>Sheet6!$K$5:$K$6</c:f>
              <c:strCache>
                <c:ptCount val="1"/>
                <c:pt idx="0">
                  <c:v>East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Sheet6!$K$7:$K$13</c:f>
              <c:numCache>
                <c:formatCode>General</c:formatCode>
                <c:ptCount val="6"/>
                <c:pt idx="0">
                  <c:v>3057</c:v>
                </c:pt>
                <c:pt idx="1">
                  <c:v>2421</c:v>
                </c:pt>
                <c:pt idx="2">
                  <c:v>3027</c:v>
                </c:pt>
                <c:pt idx="3">
                  <c:v>2833</c:v>
                </c:pt>
                <c:pt idx="4">
                  <c:v>3049</c:v>
                </c:pt>
                <c:pt idx="5">
                  <c:v>3386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BF-4A1B-9AEB-A0FB3EB5C998}"/>
            </c:ext>
          </c:extLst>
        </c:ser>
        <c:ser>
          <c:idx val="2"/>
          <c:order val="2"/>
          <c:tx>
            <c:strRef>
              <c:f>Sheet6!$L$5:$L$6</c:f>
              <c:strCache>
                <c:ptCount val="1"/>
                <c:pt idx="0">
                  <c:v>North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Sheet6!$L$7:$L$13</c:f>
              <c:numCache>
                <c:formatCode>General</c:formatCode>
                <c:ptCount val="6"/>
                <c:pt idx="0">
                  <c:v>2918</c:v>
                </c:pt>
                <c:pt idx="1">
                  <c:v>3063</c:v>
                </c:pt>
                <c:pt idx="2">
                  <c:v>2878</c:v>
                </c:pt>
                <c:pt idx="3">
                  <c:v>2381</c:v>
                </c:pt>
                <c:pt idx="4">
                  <c:v>3298</c:v>
                </c:pt>
                <c:pt idx="5">
                  <c:v>2502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BF-4A1B-9AEB-A0FB3EB5C998}"/>
            </c:ext>
          </c:extLst>
        </c:ser>
        <c:ser>
          <c:idx val="3"/>
          <c:order val="3"/>
          <c:tx>
            <c:strRef>
              <c:f>Sheet6!$M$5:$M$6</c:f>
              <c:strCache>
                <c:ptCount val="1"/>
                <c:pt idx="0">
                  <c:v>Online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Sheet6!$M$7:$M$13</c:f>
              <c:numCache>
                <c:formatCode>General</c:formatCode>
                <c:ptCount val="6"/>
                <c:pt idx="0">
                  <c:v>2677</c:v>
                </c:pt>
                <c:pt idx="1">
                  <c:v>2523</c:v>
                </c:pt>
                <c:pt idx="2">
                  <c:v>2352</c:v>
                </c:pt>
                <c:pt idx="3">
                  <c:v>2725</c:v>
                </c:pt>
                <c:pt idx="4">
                  <c:v>2444</c:v>
                </c:pt>
                <c:pt idx="5">
                  <c:v>2802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BF-4A1B-9AEB-A0FB3EB5C998}"/>
            </c:ext>
          </c:extLst>
        </c:ser>
        <c:ser>
          <c:idx val="4"/>
          <c:order val="4"/>
          <c:tx>
            <c:strRef>
              <c:f>Sheet6!$N$5:$N$6</c:f>
              <c:strCache>
                <c:ptCount val="1"/>
                <c:pt idx="0">
                  <c:v>South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Sheet6!$N$7:$N$13</c:f>
              <c:numCache>
                <c:formatCode>General</c:formatCode>
                <c:ptCount val="6"/>
                <c:pt idx="0">
                  <c:v>2625</c:v>
                </c:pt>
                <c:pt idx="1">
                  <c:v>2744</c:v>
                </c:pt>
                <c:pt idx="2">
                  <c:v>2922</c:v>
                </c:pt>
                <c:pt idx="3">
                  <c:v>1920</c:v>
                </c:pt>
                <c:pt idx="4">
                  <c:v>3173</c:v>
                </c:pt>
                <c:pt idx="5">
                  <c:v>2701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BF-4A1B-9AEB-A0FB3EB5C998}"/>
            </c:ext>
          </c:extLst>
        </c:ser>
        <c:ser>
          <c:idx val="5"/>
          <c:order val="5"/>
          <c:tx>
            <c:strRef>
              <c:f>Sheet6!$O$5:$O$6</c:f>
              <c:strCache>
                <c:ptCount val="1"/>
                <c:pt idx="0">
                  <c:v>West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Sheet6!$I$7:$I$13</c:f>
              <c:strCache>
                <c:ptCount val="6"/>
                <c:pt idx="0">
                  <c:v>May</c:v>
                </c:pt>
                <c:pt idx="1">
                  <c:v>Apr</c:v>
                </c:pt>
                <c:pt idx="2">
                  <c:v>Mar</c:v>
                </c:pt>
                <c:pt idx="3">
                  <c:v>Jan</c:v>
                </c:pt>
                <c:pt idx="4">
                  <c:v>Feb</c:v>
                </c:pt>
                <c:pt idx="5">
                  <c:v>Jun</c:v>
                </c:pt>
              </c:strCache>
            </c:strRef>
          </c:cat>
          <c:val>
            <c:numRef>
              <c:f>Sheet6!$O$7:$O$13</c:f>
              <c:numCache>
                <c:formatCode>General</c:formatCode>
                <c:ptCount val="6"/>
                <c:pt idx="0">
                  <c:v>2115</c:v>
                </c:pt>
                <c:pt idx="1">
                  <c:v>2023</c:v>
                </c:pt>
                <c:pt idx="2">
                  <c:v>2746</c:v>
                </c:pt>
                <c:pt idx="3">
                  <c:v>2750</c:v>
                </c:pt>
                <c:pt idx="4">
                  <c:v>2308</c:v>
                </c:pt>
                <c:pt idx="5">
                  <c:v>2847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BF-4A1B-9AEB-A0FB3EB5C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569176"/>
        <c:axId val="643577456"/>
      </c:barChart>
      <c:catAx>
        <c:axId val="6435691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77456"/>
        <c:crosses val="autoZero"/>
        <c:auto val="1"/>
        <c:lblAlgn val="ctr"/>
        <c:lblOffset val="100"/>
        <c:noMultiLvlLbl val="0"/>
      </c:catAx>
      <c:valAx>
        <c:axId val="643577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Units Sold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69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[CaseStudyB_SalesSummary.xlsx]Sheet2!PivotTable2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5"/>
            </a:solidFill>
            <a:ln w="9525">
              <a:solidFill>
                <a:schemeClr val="accent5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6"/>
            </a:solidFill>
            <a:ln w="9525">
              <a:solidFill>
                <a:schemeClr val="accent6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1">
                <a:lumMod val="60000"/>
              </a:schemeClr>
            </a:solidFill>
            <a:ln w="9525">
              <a:solidFill>
                <a:schemeClr val="accent1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2">
                <a:lumMod val="60000"/>
              </a:schemeClr>
            </a:solidFill>
            <a:ln w="9525">
              <a:solidFill>
                <a:schemeClr val="accent2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3">
                <a:lumMod val="60000"/>
              </a:schemeClr>
            </a:solidFill>
            <a:ln w="9525">
              <a:solidFill>
                <a:schemeClr val="accent3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circle"/>
          <c:size val="5"/>
          <c:spPr>
            <a:solidFill>
              <a:schemeClr val="accent4">
                <a:lumMod val="60000"/>
              </a:schemeClr>
            </a:solidFill>
            <a:ln w="9525">
              <a:solidFill>
                <a:schemeClr val="accent4">
                  <a:lumMod val="6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9.5535674385764185E-2"/>
          <c:y val="5.752324875587167E-2"/>
          <c:w val="0.76598934691987031"/>
          <c:h val="0.8762918736688937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Product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Sheet2!$B$5:$B$11</c:f>
              <c:numCache>
                <c:formatCode>_-[$₦-466]\ * #,##0.00_-;\-[$₦-466]\ * #,##0.00_-;_-[$₦-466]\ * "-"??_-;_-@_-</c:formatCode>
                <c:ptCount val="6"/>
                <c:pt idx="0">
                  <c:v>62791.72</c:v>
                </c:pt>
                <c:pt idx="1">
                  <c:v>65707.960000000006</c:v>
                </c:pt>
                <c:pt idx="2">
                  <c:v>39347.129999999997</c:v>
                </c:pt>
                <c:pt idx="3">
                  <c:v>38058.11</c:v>
                </c:pt>
                <c:pt idx="4">
                  <c:v>55794.76</c:v>
                </c:pt>
                <c:pt idx="5">
                  <c:v>45318.28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D2-4C87-8B4E-0C025AEF743D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Product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Sheet2!$C$5:$C$11</c:f>
              <c:numCache>
                <c:formatCode>_-[$₦-466]\ * #,##0.00_-;\-[$₦-466]\ * #,##0.00_-;_-[$₦-466]\ * "-"??_-;_-@_-</c:formatCode>
                <c:ptCount val="6"/>
                <c:pt idx="0">
                  <c:v>36130.49</c:v>
                </c:pt>
                <c:pt idx="1">
                  <c:v>41083.99</c:v>
                </c:pt>
                <c:pt idx="2">
                  <c:v>67428.679999999993</c:v>
                </c:pt>
                <c:pt idx="3">
                  <c:v>31701.01</c:v>
                </c:pt>
                <c:pt idx="4">
                  <c:v>49978.2</c:v>
                </c:pt>
                <c:pt idx="5">
                  <c:v>70362.880000000005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3D2-4C87-8B4E-0C025AEF743D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Product 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Sheet2!$D$5:$D$11</c:f>
              <c:numCache>
                <c:formatCode>_-[$₦-466]\ * #,##0.00_-;\-[$₦-466]\ * #,##0.00_-;_-[$₦-466]\ * "-"??_-;_-@_-</c:formatCode>
                <c:ptCount val="6"/>
                <c:pt idx="0">
                  <c:v>48085.69</c:v>
                </c:pt>
                <c:pt idx="1">
                  <c:v>47090.05</c:v>
                </c:pt>
                <c:pt idx="2">
                  <c:v>60652.800000000003</c:v>
                </c:pt>
                <c:pt idx="3">
                  <c:v>48064.25</c:v>
                </c:pt>
                <c:pt idx="4">
                  <c:v>27006.6</c:v>
                </c:pt>
                <c:pt idx="5">
                  <c:v>51790.76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3D2-4C87-8B4E-0C025AEF743D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Product 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Sheet2!$E$5:$E$11</c:f>
              <c:numCache>
                <c:formatCode>_-[$₦-466]\ * #,##0.00_-;\-[$₦-466]\ * #,##0.00_-;_-[$₦-466]\ * "-"??_-;_-@_-</c:formatCode>
                <c:ptCount val="6"/>
                <c:pt idx="0">
                  <c:v>60752.63</c:v>
                </c:pt>
                <c:pt idx="1">
                  <c:v>54577.51</c:v>
                </c:pt>
                <c:pt idx="2">
                  <c:v>43588.77</c:v>
                </c:pt>
                <c:pt idx="3">
                  <c:v>31706.81</c:v>
                </c:pt>
                <c:pt idx="4">
                  <c:v>60269.48</c:v>
                </c:pt>
                <c:pt idx="5">
                  <c:v>28972.959999999999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3D2-4C87-8B4E-0C025AEF743D}"/>
            </c:ext>
          </c:extLst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Product 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Sheet2!$F$5:$F$11</c:f>
              <c:numCache>
                <c:formatCode>_-[$₦-466]\ * #,##0.00_-;\-[$₦-466]\ * #,##0.00_-;_-[$₦-466]\ * "-"??_-;_-@_-</c:formatCode>
                <c:ptCount val="6"/>
                <c:pt idx="0">
                  <c:v>55470.81</c:v>
                </c:pt>
                <c:pt idx="1">
                  <c:v>36077.72</c:v>
                </c:pt>
                <c:pt idx="2">
                  <c:v>58093.65</c:v>
                </c:pt>
                <c:pt idx="3">
                  <c:v>63197.22</c:v>
                </c:pt>
                <c:pt idx="4">
                  <c:v>47781.7</c:v>
                </c:pt>
                <c:pt idx="5">
                  <c:v>58168.57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3D2-4C87-8B4E-0C025AEF743D}"/>
            </c:ext>
          </c:extLst>
        </c:ser>
        <c:ser>
          <c:idx val="5"/>
          <c:order val="5"/>
          <c:tx>
            <c:strRef>
              <c:f>Sheet2!$G$3:$G$4</c:f>
              <c:strCache>
                <c:ptCount val="1"/>
                <c:pt idx="0">
                  <c:v>Product F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Sheet2!$G$5:$G$11</c:f>
              <c:numCache>
                <c:formatCode>_-[$₦-466]\ * #,##0.00_-;\-[$₦-466]\ * #,##0.00_-;_-[$₦-466]\ * "-"??_-;_-@_-</c:formatCode>
                <c:ptCount val="6"/>
                <c:pt idx="0">
                  <c:v>50745.79</c:v>
                </c:pt>
                <c:pt idx="1">
                  <c:v>33384.04</c:v>
                </c:pt>
                <c:pt idx="2">
                  <c:v>43510.73</c:v>
                </c:pt>
                <c:pt idx="3">
                  <c:v>42095.93</c:v>
                </c:pt>
                <c:pt idx="4">
                  <c:v>54589.760000000002</c:v>
                </c:pt>
                <c:pt idx="5">
                  <c:v>40576.589999999997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3D2-4C87-8B4E-0C025AEF743D}"/>
            </c:ext>
          </c:extLst>
        </c:ser>
        <c:ser>
          <c:idx val="6"/>
          <c:order val="6"/>
          <c:tx>
            <c:strRef>
              <c:f>Sheet2!$H$3:$H$4</c:f>
              <c:strCache>
                <c:ptCount val="1"/>
                <c:pt idx="0">
                  <c:v>Product G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Sheet2!$H$5:$H$11</c:f>
              <c:numCache>
                <c:formatCode>_-[$₦-466]\ * #,##0.00_-;\-[$₦-466]\ * #,##0.00_-;_-[$₦-466]\ * "-"??_-;_-@_-</c:formatCode>
                <c:ptCount val="6"/>
                <c:pt idx="0">
                  <c:v>30858.53</c:v>
                </c:pt>
                <c:pt idx="1">
                  <c:v>46287.78</c:v>
                </c:pt>
                <c:pt idx="2">
                  <c:v>41424.239999999998</c:v>
                </c:pt>
                <c:pt idx="3">
                  <c:v>48263.56</c:v>
                </c:pt>
                <c:pt idx="4">
                  <c:v>54215.51</c:v>
                </c:pt>
                <c:pt idx="5">
                  <c:v>40122.43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3D2-4C87-8B4E-0C025AEF743D}"/>
            </c:ext>
          </c:extLst>
        </c:ser>
        <c:ser>
          <c:idx val="7"/>
          <c:order val="7"/>
          <c:tx>
            <c:strRef>
              <c:f>Sheet2!$I$3:$I$4</c:f>
              <c:strCache>
                <c:ptCount val="1"/>
                <c:pt idx="0">
                  <c:v>Product H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Sheet2!$I$5:$I$11</c:f>
              <c:numCache>
                <c:formatCode>_-[$₦-466]\ * #,##0.00_-;\-[$₦-466]\ * #,##0.00_-;_-[$₦-466]\ * "-"??_-;_-@_-</c:formatCode>
                <c:ptCount val="6"/>
                <c:pt idx="0">
                  <c:v>68385.600000000006</c:v>
                </c:pt>
                <c:pt idx="1">
                  <c:v>43201.39</c:v>
                </c:pt>
                <c:pt idx="2">
                  <c:v>52786.93</c:v>
                </c:pt>
                <c:pt idx="3">
                  <c:v>62379.25</c:v>
                </c:pt>
                <c:pt idx="4">
                  <c:v>40707.9</c:v>
                </c:pt>
                <c:pt idx="5">
                  <c:v>48392.07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3D2-4C87-8B4E-0C025AEF743D}"/>
            </c:ext>
          </c:extLst>
        </c:ser>
        <c:ser>
          <c:idx val="8"/>
          <c:order val="8"/>
          <c:tx>
            <c:strRef>
              <c:f>Sheet2!$J$3:$J$4</c:f>
              <c:strCache>
                <c:ptCount val="1"/>
                <c:pt idx="0">
                  <c:v>Product I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Sheet2!$J$5:$J$11</c:f>
              <c:numCache>
                <c:formatCode>_-[$₦-466]\ * #,##0.00_-;\-[$₦-466]\ * #,##0.00_-;_-[$₦-466]\ * "-"??_-;_-@_-</c:formatCode>
                <c:ptCount val="6"/>
                <c:pt idx="0">
                  <c:v>57045.43</c:v>
                </c:pt>
                <c:pt idx="1">
                  <c:v>45455.69</c:v>
                </c:pt>
                <c:pt idx="2">
                  <c:v>53506.03</c:v>
                </c:pt>
                <c:pt idx="3">
                  <c:v>50588.32</c:v>
                </c:pt>
                <c:pt idx="4">
                  <c:v>46686.8</c:v>
                </c:pt>
                <c:pt idx="5">
                  <c:v>33947.69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3D2-4C87-8B4E-0C025AEF743D}"/>
            </c:ext>
          </c:extLst>
        </c:ser>
        <c:ser>
          <c:idx val="9"/>
          <c:order val="9"/>
          <c:tx>
            <c:strRef>
              <c:f>Sheet2!$K$3:$K$4</c:f>
              <c:strCache>
                <c:ptCount val="1"/>
                <c:pt idx="0">
                  <c:v>Product J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Sheet2!$A$5:$A$11</c:f>
              <c:strCache>
                <c:ptCount val="6"/>
                <c:pt idx="0">
                  <c:v>Central</c:v>
                </c:pt>
                <c:pt idx="1">
                  <c:v>East</c:v>
                </c:pt>
                <c:pt idx="2">
                  <c:v>North</c:v>
                </c:pt>
                <c:pt idx="3">
                  <c:v>Online</c:v>
                </c:pt>
                <c:pt idx="4">
                  <c:v>South</c:v>
                </c:pt>
                <c:pt idx="5">
                  <c:v>West</c:v>
                </c:pt>
              </c:strCache>
            </c:strRef>
          </c:cat>
          <c:val>
            <c:numRef>
              <c:f>Sheet2!$K$5:$K$11</c:f>
              <c:numCache>
                <c:formatCode>_-[$₦-466]\ * #,##0.00_-;\-[$₦-466]\ * #,##0.00_-;_-[$₦-466]\ * "-"??_-;_-@_-</c:formatCode>
                <c:ptCount val="6"/>
                <c:pt idx="0">
                  <c:v>52590.25</c:v>
                </c:pt>
                <c:pt idx="1">
                  <c:v>56558.76</c:v>
                </c:pt>
                <c:pt idx="2">
                  <c:v>60562.7</c:v>
                </c:pt>
                <c:pt idx="3">
                  <c:v>53092.13</c:v>
                </c:pt>
                <c:pt idx="4">
                  <c:v>56747.17</c:v>
                </c:pt>
                <c:pt idx="5">
                  <c:v>46046.3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3D2-4C87-8B4E-0C025AEF74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43560536"/>
        <c:axId val="643560896"/>
      </c:barChart>
      <c:catAx>
        <c:axId val="643560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60896"/>
        <c:crosses val="autoZero"/>
        <c:auto val="1"/>
        <c:lblAlgn val="ctr"/>
        <c:lblOffset val="100"/>
        <c:noMultiLvlLbl val="0"/>
      </c:catAx>
      <c:valAx>
        <c:axId val="643560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[$₦-466]\ * #,##0.00_-;\-[$₦-466]\ * #,##0.00_-;_-[$₦-466]\ 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3560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59DF1-52DA-4158-934F-C3DDA876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808</Words>
  <Characters>4366</Characters>
  <Application>Microsoft Office Word</Application>
  <DocSecurity>0</DocSecurity>
  <Lines>174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Aiyegbeni</dc:creator>
  <cp:keywords/>
  <dc:description/>
  <cp:lastModifiedBy>Israel Aiyegbeni</cp:lastModifiedBy>
  <cp:revision>25</cp:revision>
  <dcterms:created xsi:type="dcterms:W3CDTF">2025-05-12T14:23:00Z</dcterms:created>
  <dcterms:modified xsi:type="dcterms:W3CDTF">2025-05-12T15:11:00Z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f432dbdf-c504-4278-b8ae-4fa10c37000f</vt:lpwstr>
  </property>
</Properties>
</file>