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▶강화학습 기술키워드 마인드맵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강화학습 기술키워드 마인드맵은 강화학습에 관련된 주요 개념과 키워드를 시각적으로 연결한 도표입니다.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강화학습은 머신러닝의 한 영역으로, 에이전트가 환경과 상호작용하며 보상을 최대화하는 행동을 학습하는 방법입니다1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before="18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강화학습의 주요 개념에는 다음과 같은 것들이 있습니다: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3f3f3" w:val="clear"/>
        <w:spacing w:after="0" w:afterAutospacing="0" w:before="180" w:lineRule="auto"/>
        <w:ind w:left="720" w:hanging="360"/>
      </w:pPr>
      <w:hyperlink r:id="rId7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에이전트(Agent)</w:t>
        </w:r>
      </w:hyperlink>
      <w:hyperlink r:id="rId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학습하는 시스템1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상태(State)</w:t>
        </w:r>
      </w:hyperlink>
      <w:hyperlink r:id="rId1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에이전트의 현재 상황1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행동(Action)</w:t>
        </w:r>
      </w:hyperlink>
      <w:hyperlink r:id="rId1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에이전트가 취할 수 있는 선택1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보상(Reward)</w:t>
        </w:r>
      </w:hyperlink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에이전트가 행동을 취했을 때 받는 보상1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정책(Policy)</w:t>
        </w:r>
      </w:hyperlink>
      <w:hyperlink r:id="rId1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주어진 상황에서 에이전트가 어떤 행동을 해야 할지를 정의하는 것1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3f3f3" w:val="clear"/>
        <w:spacing w:before="0" w:beforeAutospacing="0" w:lineRule="auto"/>
        <w:ind w:left="720" w:hanging="360"/>
      </w:pPr>
      <w:hyperlink r:id="rId17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1155cc"/>
            <w:sz w:val="21"/>
            <w:szCs w:val="21"/>
            <w:u w:val="single"/>
            <w:rtl w:val="0"/>
          </w:rPr>
          <w:t xml:space="preserve">가치 함수(Value function)</w:t>
        </w:r>
      </w:hyperlink>
      <w:hyperlink r:id="rId1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: 어떤 상태나 행동의 가치를 나타내는 함수1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before="18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이러한 개념들은 서로 연결되어 있으며, 이를 시각적으로 표현한 것이 마인드맵입니다. </w:t>
      </w:r>
      <w:hyperlink r:id="rId19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마인드맵은 학습을 강화하고, 이해를 향상시키며, 비판적 사고 능력을 개발하는 데 도움이 됩니다2</w:t>
        </w:r>
      </w:hyperlink>
      <w:hyperlink r:id="rId2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이러한 마인드맵을 통해 강화학습의 주요 개념과 그들 사이의 관계를 더 잘 이해할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https://skidrow6122.tistory.com/entry/1-Introduction-of-Reinforcement-Learning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indmeister.com/pages/ko/mind-map-education/" TargetMode="External"/><Relationship Id="rId11" Type="http://schemas.openxmlformats.org/officeDocument/2006/relationships/hyperlink" Target="https://m.blog.naver.com/towards-ai/222247474381" TargetMode="External"/><Relationship Id="rId22" Type="http://schemas.openxmlformats.org/officeDocument/2006/relationships/hyperlink" Target="https://skidrow6122.tistory.com/entry/1-Introduction-of-Reinforcement-Learning" TargetMode="External"/><Relationship Id="rId10" Type="http://schemas.openxmlformats.org/officeDocument/2006/relationships/hyperlink" Target="https://m.blog.naver.com/towards-ai/222247474381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m.blog.naver.com/towards-ai/222247474381" TargetMode="External"/><Relationship Id="rId12" Type="http://schemas.openxmlformats.org/officeDocument/2006/relationships/hyperlink" Target="https://m.blog.naver.com/towards-ai/2222474743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blog.naver.com/towards-ai/222247474381" TargetMode="External"/><Relationship Id="rId15" Type="http://schemas.openxmlformats.org/officeDocument/2006/relationships/hyperlink" Target="https://m.blog.naver.com/towards-ai/222247474381" TargetMode="External"/><Relationship Id="rId14" Type="http://schemas.openxmlformats.org/officeDocument/2006/relationships/hyperlink" Target="https://m.blog.naver.com/towards-ai/222247474381" TargetMode="External"/><Relationship Id="rId17" Type="http://schemas.openxmlformats.org/officeDocument/2006/relationships/hyperlink" Target="https://m.blog.naver.com/towards-ai/222247474381" TargetMode="External"/><Relationship Id="rId16" Type="http://schemas.openxmlformats.org/officeDocument/2006/relationships/hyperlink" Target="https://m.blog.naver.com/towards-ai/22224747438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almirmetododeestudo.com/ko/%EB%A7%88%EC%9D%B8%EB%93%9C%EB%A7%B5%EC%9D%B4-%ED%95%99%EC%8A%B5%EC%9D%84-%ED%96%A5%EC%83%81%EC%8B%9C%ED%82%A4%EB%8A%94-%EB%B0%A9%EB%B2%95/" TargetMode="External"/><Relationship Id="rId6" Type="http://schemas.openxmlformats.org/officeDocument/2006/relationships/hyperlink" Target="https://m.blog.naver.com/towards-ai/222247474381" TargetMode="External"/><Relationship Id="rId18" Type="http://schemas.openxmlformats.org/officeDocument/2006/relationships/hyperlink" Target="https://m.blog.naver.com/towards-ai/222247474381" TargetMode="External"/><Relationship Id="rId7" Type="http://schemas.openxmlformats.org/officeDocument/2006/relationships/hyperlink" Target="https://m.blog.naver.com/towards-ai/222247474381" TargetMode="External"/><Relationship Id="rId8" Type="http://schemas.openxmlformats.org/officeDocument/2006/relationships/hyperlink" Target="https://m.blog.naver.com/towards-ai/222247474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