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07/02/2021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Alex Correa Diaz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11/02/2021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Ver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edidos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erminados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historia de usuario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permite al Usuario Administrador  activar, inactivar y visualizar los productos que estén terminados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150.0" w:type="dxa"/>
        <w:tblLayout w:type="fixed"/>
        <w:tblLook w:val="0400"/>
      </w:tblPr>
      <w:tblGrid>
        <w:gridCol w:w="690"/>
        <w:gridCol w:w="1545"/>
        <w:gridCol w:w="1200"/>
        <w:gridCol w:w="765"/>
        <w:gridCol w:w="690"/>
        <w:gridCol w:w="1635"/>
        <w:gridCol w:w="720"/>
        <w:gridCol w:w="975"/>
        <w:gridCol w:w="1470"/>
        <w:tblGridChange w:id="0">
          <w:tblGrid>
            <w:gridCol w:w="690"/>
            <w:gridCol w:w="1545"/>
            <w:gridCol w:w="1200"/>
            <w:gridCol w:w="765"/>
            <w:gridCol w:w="690"/>
            <w:gridCol w:w="1635"/>
            <w:gridCol w:w="720"/>
            <w:gridCol w:w="975"/>
            <w:gridCol w:w="14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08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pedidos terminados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6" w:lineRule="auto"/>
              <w:ind w:left="708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Desea visualizar los pedidos terminados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determinar cuáles ya están finalizados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entra al panel administrativo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dar clic en productos disponibles  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pedidos terminados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5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 mostrada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fueron agregados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Tabla de pedidos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mostrarán una tabla donde se observan los productos terminados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Sin Información para mostrar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no fueron agregados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Tabla de pedidos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mostrarán únicamente los productos antiguos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 no encontrada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se encuentra la información en la base de datos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Tabla de pedidos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presentará un mensaje de advertencia indicando que la información no fue encontrada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Conexión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conexión a internet presenta fallas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Tabla de pedidos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presentará un mensaje de advertencia indicando que la conexión a internet presenta fallas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515938</wp:posOffset>
                </wp:positionH>
                <wp:positionV relativeFrom="paragraph">
                  <wp:posOffset>-1904</wp:posOffset>
                </wp:positionV>
                <wp:extent cx="1105853" cy="1105853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PT-HU 07</w:t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Pr>
      <w:sz w:val="24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sz w:val="24"/>
    </w:r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Cabeceraypie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uiPriority w:val="99"/>
    <w:unhideWhenUsed w:val="1"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6WFXJ+GKzPi/ohXn9elI40U/w==">AMUW2mW10YznjmUnHE79vK3g7ZH/bvWyxlBmCquOh+Lodn6lKDmS2NQZ5swllgVLLlIAe3YyOZLfamNWkTzyBwlu5abE4n/fSN6Devak7bVn4xNoiFXenANnUpNUDr412apqokPOOv8m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2021-02-15T20:02:00Z</dcterms:created>
</cp:coreProperties>
</file>