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Alexander Correa Diaz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23/05/2022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HU21 – Ver descripción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Registrado y No Registrado ver la descripción completa de un producto.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HU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Ver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Yo como Usuario Registrado 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Deseo ver la descripción de los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adquirir más información de los mismos y poder determinar si comprar el artículo en ese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Dar clic en el producto deseado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 continuación, se debe dar clic en el icono “Ver más”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Aparecerá un pop-up con la descripción completa y sus respectivas imágenes y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descripción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completa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existen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“Ver más”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mostrará un pop-up con la descripción completa del producto y las respectivas fotografías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Conexión fallida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no hay conexión a internet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“Ver más”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 se mostrará información alguna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728980</wp:posOffset>
                </wp:positionH>
                <wp:positionV relativeFrom="paragraph">
                  <wp:posOffset>61913</wp:posOffset>
                </wp:positionV>
                <wp:extent cx="533400" cy="53340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D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E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1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2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5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16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9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23/05/2022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9C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84A8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84A8A"/>
  </w:style>
  <w:style w:type="paragraph" w:styleId="Piedepgina">
    <w:name w:val="footer"/>
    <w:basedOn w:val="Normal"/>
    <w:link w:val="PiedepginaCar"/>
    <w:uiPriority w:val="99"/>
    <w:unhideWhenUsed w:val="1"/>
    <w:rsid w:val="00A84A8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84A8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bBfND2ij+n1R3WyMZcyGfV7bw==">AMUW2mVpj7vPP6uJxTz+nj29k4hbG5HjiwINO3IRTYCKC2EM/MgWsO3EBAJ7hMyiScMtmXo3bdSxMwaw7PDatBDSCwjwVrVChQdFxxkeNkSDsZzdWp62OWaOpU8HukFHVbtxn69e6RTn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