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Layout w:type="fixed"/>
        <w:tblLook w:val="0400"/>
      </w:tblPr>
      <w:tblGrid>
        <w:gridCol w:w="3032"/>
        <w:gridCol w:w="6750"/>
        <w:tblGridChange w:id="0">
          <w:tblGrid>
            <w:gridCol w:w="3032"/>
            <w:gridCol w:w="67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15/05/2022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Alexander Correa Diaz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23/05/2022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Layout w:type="fixed"/>
        <w:tblLook w:val="0400"/>
      </w:tblPr>
      <w:tblGrid>
        <w:gridCol w:w="3029"/>
        <w:gridCol w:w="6753"/>
        <w:tblGridChange w:id="0">
          <w:tblGrid>
            <w:gridCol w:w="3029"/>
            <w:gridCol w:w="6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HU22 – Recuperar contraseña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Registrado recuperar la contraseña.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  <w:tblGridChange w:id="0">
          <w:tblGrid>
            <w:gridCol w:w="688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59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30" w:firstLine="0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HU 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Yo como Usuario Registrado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Deseo recuperar mi contraseña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poder acceder a mi cuenta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Dar clic en iniciar sesión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 continuación, se debe dar clic en el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enlace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“Olvidaste tu  Contraseña”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Después, se debe digitar el correo registrado al cual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llegará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un enlace para redirecciona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nuevamente a la aplicación Ebanistería León.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En este momento, se debe digitar la nueva contraseña en el primer input y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confirmar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en el segundo input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finalizar, se debe dar clic en crear nueva contraseña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Cambio de contraseña exitoso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la contraseña cumple con los requisitos de seguridad solicitados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“Recuperar contraseña”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redirigirá al usuario a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Cambio de contraseña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la contraseña no cumple con los requisitos de seguridad solicitados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“Recuperar contraseña”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mostrará un mensaje donde se expresa que la contraseña no cumple con los requisitos de seguridad solicitados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Conexión fallida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no hay conexión a internet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“Recuperar contraseña”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 se mostrará información alguna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B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728980</wp:posOffset>
                </wp:positionH>
                <wp:positionV relativeFrom="paragraph">
                  <wp:posOffset>61913</wp:posOffset>
                </wp:positionV>
                <wp:extent cx="533400" cy="53340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C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0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3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4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7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8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9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16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B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23/05/2022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C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D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9E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A84A8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84A8A"/>
  </w:style>
  <w:style w:type="paragraph" w:styleId="Piedepgina">
    <w:name w:val="footer"/>
    <w:basedOn w:val="Normal"/>
    <w:link w:val="PiedepginaCar"/>
    <w:uiPriority w:val="99"/>
    <w:unhideWhenUsed w:val="1"/>
    <w:rsid w:val="00A84A8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84A8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jb2f7m+WL1GCMFh5peu3A9mFg==">AMUW2mUY3qurVUoF5/DIxysEJr0UOcA9Hx41ozemnUNLwkGRUNiY1rhLsdc1rtsWfc7TiydGZzIgx4C7idFO4UBGtjGSSFQ+F7+ABxu3grmPXVe2xIkleay+ZtMeRdx34EAFLXwJeVGZ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