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02A43"/>
          <w:sz w:val="56"/>
        </w:rPr>
        <w:t>AI Trading Copilot — As-Built Technical Design &amp; Engineering Guide</w:t>
      </w:r>
    </w:p>
    <w:p>
      <w:pPr>
        <w:jc w:val="center"/>
      </w:pPr>
      <w:r>
        <w:rPr>
          <w:color w:val="5B6573"/>
          <w:sz w:val="24"/>
        </w:rPr>
        <w:t>Architecture, agent design, tracing, guardrails, gates, cloud deployment, and engineering controls</w:t>
      </w:r>
    </w:p>
    <w:p>
      <w:pPr>
        <w:jc w:val="center"/>
      </w:pPr>
      <w:r>
        <w:rPr>
          <w:color w:val="5B6573"/>
          <w:sz w:val="18"/>
        </w:rPr>
        <w:t>AI Guardians LLC • As-built documentation • October 29, 2026</w:t>
      </w:r>
    </w:p>
    <w:p/>
    <w:tbl>
      <w:tblPr>
        <w:tblW w:type="auto" w:w="0"/>
        <w:jc w:val="center"/>
        <w:tblLook w:firstColumn="1" w:firstRow="1" w:lastColumn="0" w:lastRow="0" w:noHBand="0" w:noVBand="1" w:val="04A0"/>
      </w:tblPr>
      <w:tblGrid>
        <w:gridCol w:w="10166"/>
      </w:tblGrid>
      <w:tr>
        <w:tc>
          <w:tcPr>
            <w:tcW w:type="dxa" w:w="10166"/>
            <w:shd w:fill="EAF2FF"/>
          </w:tcPr>
          <w:p>
            <w:r/>
          </w:p>
          <w:p>
            <w:r>
              <w:rPr>
                <w:b/>
                <w:color w:val="102A43"/>
                <w:sz w:val="22"/>
              </w:rPr>
              <w:t>Executive summary</w:t>
            </w:r>
          </w:p>
          <w:p>
            <w:pPr>
              <w:spacing w:after="40"/>
            </w:pPr>
            <w:r>
              <w:t>Trading Copilot is a multi-horizon U.S.-equities decision-support platform built around deterministic computation, typed contracts, evidence provenance, specialist agents, orchestration, and a non-bypassable RiskGate. The production path is an authenticated AI Guardians portal calling a private Google Cloud Run FastAPI service backed by private Cloud SQL PostgreSQL. No component autonomously executes trades.</w:t>
            </w:r>
          </w:p>
        </w:tc>
      </w:tr>
    </w:tbl>
    <w:p>
      <w:pPr>
        <w:pStyle w:val="Heading1"/>
      </w:pPr>
      <w:r>
        <w:t>1. System objectives and non-negotiables</w:t>
      </w:r>
    </w:p>
    <w:tbl>
      <w:tblPr>
        <w:tblStyle w:val="TableGrid"/>
        <w:tblW w:type="auto" w:w="0"/>
        <w:jc w:val="center"/>
        <w:tblLook w:firstColumn="1" w:firstRow="1" w:lastColumn="0" w:lastRow="0" w:noHBand="0" w:noVBand="1" w:val="04A0"/>
      </w:tblPr>
      <w:tblGrid>
        <w:gridCol w:w="5083"/>
        <w:gridCol w:w="5083"/>
      </w:tblGrid>
      <w:tr>
        <w:tc>
          <w:tcPr>
            <w:tcW w:type="dxa" w:w="5083"/>
            <w:shd w:fill="102A43"/>
            <w:vAlign w:val="center"/>
          </w:tcPr>
          <w:p>
            <w:r/>
            <w:r>
              <w:rPr>
                <w:b/>
                <w:color w:val="FFFFFF"/>
                <w:sz w:val="18"/>
              </w:rPr>
              <w:t>Non-negotiable</w:t>
            </w:r>
          </w:p>
        </w:tc>
        <w:tc>
          <w:tcPr>
            <w:tcW w:type="dxa" w:w="5083"/>
            <w:shd w:fill="102A43"/>
            <w:vAlign w:val="center"/>
          </w:tcPr>
          <w:p>
            <w:r/>
            <w:r>
              <w:rPr>
                <w:b/>
                <w:color w:val="FFFFFF"/>
                <w:sz w:val="18"/>
              </w:rPr>
              <w:t>Implementation</w:t>
            </w:r>
          </w:p>
        </w:tc>
      </w:tr>
      <w:tr>
        <w:tc>
          <w:tcPr>
            <w:tcW w:type="dxa" w:w="5083"/>
            <w:vAlign w:val="center"/>
          </w:tcPr>
          <w:p>
            <w:r/>
            <w:r>
              <w:rPr>
                <w:b w:val="0"/>
                <w:sz w:val="18"/>
              </w:rPr>
              <w:t>No autonomous trade execution</w:t>
            </w:r>
          </w:p>
        </w:tc>
        <w:tc>
          <w:tcPr>
            <w:tcW w:type="dxa" w:w="5083"/>
            <w:vAlign w:val="center"/>
          </w:tcPr>
          <w:p>
            <w:r/>
            <w:r>
              <w:rPr>
                <w:b w:val="0"/>
                <w:sz w:val="18"/>
              </w:rPr>
              <w:t>No broker calls in the core architecture. The system outputs decision-support artifacts only.</w:t>
            </w:r>
          </w:p>
        </w:tc>
      </w:tr>
      <w:tr>
        <w:tc>
          <w:tcPr>
            <w:tcW w:type="dxa" w:w="5083"/>
            <w:vAlign w:val="center"/>
          </w:tcPr>
          <w:p>
            <w:r/>
            <w:r>
              <w:rPr>
                <w:b w:val="0"/>
                <w:sz w:val="18"/>
              </w:rPr>
              <w:t>Code calculates facts</w:t>
            </w:r>
          </w:p>
        </w:tc>
        <w:tc>
          <w:tcPr>
            <w:tcW w:type="dxa" w:w="5083"/>
            <w:vAlign w:val="center"/>
          </w:tcPr>
          <w:p>
            <w:r/>
            <w:r>
              <w:rPr>
                <w:b w:val="0"/>
                <w:sz w:val="18"/>
              </w:rPr>
              <w:t>RSI, ATR, moving averages, returns, volatility, levels, financial ratios, MFE/MAE and similar metrics are deterministic Python calculations.</w:t>
            </w:r>
          </w:p>
        </w:tc>
      </w:tr>
      <w:tr>
        <w:tc>
          <w:tcPr>
            <w:tcW w:type="dxa" w:w="5083"/>
            <w:vAlign w:val="center"/>
          </w:tcPr>
          <w:p>
            <w:r/>
            <w:r>
              <w:rPr>
                <w:b w:val="0"/>
                <w:sz w:val="18"/>
              </w:rPr>
              <w:t>LLMs interpret, not invent</w:t>
            </w:r>
          </w:p>
        </w:tc>
        <w:tc>
          <w:tcPr>
            <w:tcW w:type="dxa" w:w="5083"/>
            <w:vAlign w:val="center"/>
          </w:tcPr>
          <w:p>
            <w:r/>
            <w:r>
              <w:rPr>
                <w:b w:val="0"/>
                <w:sz w:val="18"/>
              </w:rPr>
              <w:t>LLMs synthesize evidence into structured assessments; unsupported facts are UNKNOWN.</w:t>
            </w:r>
          </w:p>
        </w:tc>
      </w:tr>
      <w:tr>
        <w:tc>
          <w:tcPr>
            <w:tcW w:type="dxa" w:w="5083"/>
            <w:vAlign w:val="center"/>
          </w:tcPr>
          <w:p>
            <w:r/>
            <w:r>
              <w:rPr>
                <w:b w:val="0"/>
                <w:sz w:val="18"/>
              </w:rPr>
              <w:t>Fixed as_of / anti-lookahead</w:t>
            </w:r>
          </w:p>
        </w:tc>
        <w:tc>
          <w:tcPr>
            <w:tcW w:type="dxa" w:w="5083"/>
            <w:vAlign w:val="center"/>
          </w:tcPr>
          <w:p>
            <w:r/>
            <w:r>
              <w:rPr>
                <w:b w:val="0"/>
                <w:sz w:val="18"/>
              </w:rPr>
              <w:t>Each run has a fixed as_of. Filings, market bars, pivots, research and outcomes are only eligible when available by that time.</w:t>
            </w:r>
          </w:p>
        </w:tc>
      </w:tr>
      <w:tr>
        <w:tc>
          <w:tcPr>
            <w:tcW w:type="dxa" w:w="5083"/>
            <w:vAlign w:val="center"/>
          </w:tcPr>
          <w:p>
            <w:r/>
            <w:r>
              <w:rPr>
                <w:b w:val="0"/>
                <w:sz w:val="18"/>
              </w:rPr>
              <w:t>Evidence-backed material claims</w:t>
            </w:r>
          </w:p>
        </w:tc>
        <w:tc>
          <w:tcPr>
            <w:tcW w:type="dxa" w:w="5083"/>
            <w:vAlign w:val="center"/>
          </w:tcPr>
          <w:p>
            <w:r/>
            <w:r>
              <w:rPr>
                <w:b w:val="0"/>
                <w:sz w:val="18"/>
              </w:rPr>
              <w:t>Material claims carry EvidenceLedger references and are validated.</w:t>
            </w:r>
          </w:p>
        </w:tc>
      </w:tr>
      <w:tr>
        <w:tc>
          <w:tcPr>
            <w:tcW w:type="dxa" w:w="5083"/>
            <w:vAlign w:val="center"/>
          </w:tcPr>
          <w:p>
            <w:r/>
            <w:r>
              <w:rPr>
                <w:b w:val="0"/>
                <w:sz w:val="18"/>
              </w:rPr>
              <w:t>RiskGate is non-bypassable</w:t>
            </w:r>
          </w:p>
        </w:tc>
        <w:tc>
          <w:tcPr>
            <w:tcW w:type="dxa" w:w="5083"/>
            <w:vAlign w:val="center"/>
          </w:tcPr>
          <w:p>
            <w:r/>
            <w:r>
              <w:rPr>
                <w:b w:val="0"/>
                <w:sz w:val="18"/>
              </w:rPr>
              <w:t>PASS/WARN/BLOCK is deterministic. BLOCK suppresses recommendations and prevents approval.</w:t>
            </w:r>
          </w:p>
        </w:tc>
      </w:tr>
      <w:tr>
        <w:tc>
          <w:tcPr>
            <w:tcW w:type="dxa" w:w="5083"/>
            <w:vAlign w:val="center"/>
          </w:tcPr>
          <w:p>
            <w:r/>
            <w:r>
              <w:rPr>
                <w:b w:val="0"/>
                <w:sz w:val="18"/>
              </w:rPr>
              <w:t>Provider neutrality</w:t>
            </w:r>
          </w:p>
        </w:tc>
        <w:tc>
          <w:tcPr>
            <w:tcW w:type="dxa" w:w="5083"/>
            <w:vAlign w:val="center"/>
          </w:tcPr>
          <w:p>
            <w:r/>
            <w:r>
              <w:rPr>
                <w:b w:val="0"/>
                <w:sz w:val="18"/>
              </w:rPr>
              <w:t>Providers sit behind abstractions and model routing. No silent substitution is allowed.</w:t>
            </w:r>
          </w:p>
        </w:tc>
      </w:tr>
      <w:tr>
        <w:tc>
          <w:tcPr>
            <w:tcW w:type="dxa" w:w="5083"/>
            <w:vAlign w:val="center"/>
          </w:tcPr>
          <w:p>
            <w:r/>
            <w:r>
              <w:rPr>
                <w:b w:val="0"/>
                <w:sz w:val="18"/>
              </w:rPr>
              <w:t>Tenant isolation</w:t>
            </w:r>
          </w:p>
        </w:tc>
        <w:tc>
          <w:tcPr>
            <w:tcW w:type="dxa" w:w="5083"/>
            <w:vAlign w:val="center"/>
          </w:tcPr>
          <w:p>
            <w:r/>
            <w:r>
              <w:rPr>
                <w:b w:val="0"/>
                <w:sz w:val="18"/>
              </w:rPr>
              <w:t>User/workspace/private/licensed data are isolated; shared facts are reusable only under SafeReusePolicy.</w:t>
            </w:r>
          </w:p>
        </w:tc>
      </w:tr>
      <w:tr>
        <w:tc>
          <w:tcPr>
            <w:tcW w:type="dxa" w:w="5083"/>
            <w:vAlign w:val="center"/>
          </w:tcPr>
          <w:p>
            <w:r/>
            <w:r>
              <w:rPr>
                <w:b w:val="0"/>
                <w:sz w:val="18"/>
              </w:rPr>
              <w:t>Production persistence required</w:t>
            </w:r>
          </w:p>
        </w:tc>
        <w:tc>
          <w:tcPr>
            <w:tcW w:type="dxa" w:w="5083"/>
            <w:vAlign w:val="center"/>
          </w:tcPr>
          <w:p>
            <w:r/>
            <w:r>
              <w:rPr>
                <w:b w:val="0"/>
                <w:sz w:val="18"/>
              </w:rPr>
              <w:t>Production refuses filesystem/JSON/in-memory fallback and requires PostgreSQL.</w:t>
            </w:r>
          </w:p>
        </w:tc>
      </w:tr>
      <w:tr>
        <w:tc>
          <w:tcPr>
            <w:tcW w:type="dxa" w:w="5083"/>
            <w:vAlign w:val="center"/>
          </w:tcPr>
          <w:p>
            <w:r/>
            <w:r>
              <w:rPr>
                <w:b w:val="0"/>
                <w:sz w:val="18"/>
              </w:rPr>
              <w:t>Secrets stay server-side</w:t>
            </w:r>
          </w:p>
        </w:tc>
        <w:tc>
          <w:tcPr>
            <w:tcW w:type="dxa" w:w="5083"/>
            <w:vAlign w:val="center"/>
          </w:tcPr>
          <w:p>
            <w:r/>
            <w:r>
              <w:rPr>
                <w:b w:val="0"/>
                <w:sz w:val="18"/>
              </w:rPr>
              <w:t>Provider keys, DB credentials and Cloud Run identity tokens never go to the browser.</w:t>
            </w:r>
          </w:p>
        </w:tc>
      </w:tr>
    </w:tbl>
    <w:p>
      <w:pPr>
        <w:pStyle w:val="Heading1"/>
      </w:pPr>
      <w:r>
        <w:t>2. Simplified architecture</w:t>
      </w:r>
    </w:p>
    <w:p>
      <w:r>
        <w:t>The production request path is intentionally simple at the top level:</w:t>
      </w:r>
    </w:p>
    <w:p>
      <w:r>
        <w:t>AI Guardians Portal → server-side TradingCopilotClient → authenticated Cloud Run FastAPI → orchestration + specialist agents + deterministic analytics → RiskGate → Cloud SQL / evidence / outcomes. Provider and secret access remains behind the service boundary.</w:t>
      </w:r>
    </w:p>
    <w:p>
      <w:pPr>
        <w:pStyle w:val="Heading1"/>
      </w:pPr>
      <w:r>
        <w:t>3. Major runtime components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02A43"/>
            <w:vAlign w:val="center"/>
          </w:tcPr>
          <w:p>
            <w:r/>
            <w:r>
              <w:rPr>
                <w:b/>
                <w:color w:val="FFFFFF"/>
                <w:sz w:val="18"/>
              </w:rPr>
              <w:t>Layer</w:t>
            </w:r>
          </w:p>
        </w:tc>
        <w:tc>
          <w:tcPr>
            <w:tcW w:type="dxa" w:w="3389"/>
            <w:shd w:fill="102A43"/>
            <w:vAlign w:val="center"/>
          </w:tcPr>
          <w:p>
            <w:r/>
            <w:r>
              <w:rPr>
                <w:b/>
                <w:color w:val="FFFFFF"/>
                <w:sz w:val="18"/>
              </w:rPr>
              <w:t>Primary responsibilities</w:t>
            </w:r>
          </w:p>
        </w:tc>
        <w:tc>
          <w:tcPr>
            <w:tcW w:type="dxa" w:w="3389"/>
            <w:shd w:fill="102A43"/>
            <w:vAlign w:val="center"/>
          </w:tcPr>
          <w:p>
            <w:r/>
            <w:r>
              <w:rPr>
                <w:b/>
                <w:color w:val="FFFFFF"/>
                <w:sz w:val="18"/>
              </w:rPr>
              <w:t>Representative technologies</w:t>
            </w:r>
          </w:p>
        </w:tc>
      </w:tr>
      <w:tr>
        <w:tc>
          <w:tcPr>
            <w:tcW w:type="dxa" w:w="3389"/>
            <w:vAlign w:val="center"/>
          </w:tcPr>
          <w:p>
            <w:r/>
            <w:r>
              <w:rPr>
                <w:b w:val="0"/>
                <w:sz w:val="18"/>
              </w:rPr>
              <w:t>Portal</w:t>
            </w:r>
          </w:p>
        </w:tc>
        <w:tc>
          <w:tcPr>
            <w:tcW w:type="dxa" w:w="3389"/>
            <w:vAlign w:val="center"/>
          </w:tcPr>
          <w:p>
            <w:r/>
            <w:r>
              <w:rPr>
                <w:b w:val="0"/>
                <w:sz w:val="18"/>
              </w:rPr>
              <w:t>Authentication, user/workspace context, native Trading Copilot UI, HITL decisions.</w:t>
            </w:r>
          </w:p>
        </w:tc>
        <w:tc>
          <w:tcPr>
            <w:tcW w:type="dxa" w:w="3389"/>
            <w:vAlign w:val="center"/>
          </w:tcPr>
          <w:p>
            <w:r/>
            <w:r>
              <w:rPr>
                <w:b w:val="0"/>
                <w:sz w:val="18"/>
              </w:rPr>
              <w:t>AI Guardians portal, server-side TradingCopilotClient</w:t>
            </w:r>
          </w:p>
        </w:tc>
      </w:tr>
      <w:tr>
        <w:tc>
          <w:tcPr>
            <w:tcW w:type="dxa" w:w="3389"/>
            <w:vAlign w:val="center"/>
          </w:tcPr>
          <w:p>
            <w:r/>
            <w:r>
              <w:rPr>
                <w:b w:val="0"/>
                <w:sz w:val="18"/>
              </w:rPr>
              <w:t>API/service</w:t>
            </w:r>
          </w:p>
        </w:tc>
        <w:tc>
          <w:tcPr>
            <w:tcW w:type="dxa" w:w="3389"/>
            <w:vAlign w:val="center"/>
          </w:tcPr>
          <w:p>
            <w:r/>
            <w:r>
              <w:rPr>
                <w:b w:val="0"/>
                <w:sz w:val="18"/>
              </w:rPr>
              <w:t>Authenticated request handling, contracts, authorization, run lifecycle, health/API errors.</w:t>
            </w:r>
          </w:p>
        </w:tc>
        <w:tc>
          <w:tcPr>
            <w:tcW w:type="dxa" w:w="3389"/>
            <w:vAlign w:val="center"/>
          </w:tcPr>
          <w:p>
            <w:r/>
            <w:r>
              <w:rPr>
                <w:b w:val="0"/>
                <w:sz w:val="18"/>
              </w:rPr>
              <w:t>FastAPI, Uvicorn, OpenAPI 3.1, Pydantic v2</w:t>
            </w:r>
          </w:p>
        </w:tc>
      </w:tr>
      <w:tr>
        <w:tc>
          <w:tcPr>
            <w:tcW w:type="dxa" w:w="3389"/>
            <w:vAlign w:val="center"/>
          </w:tcPr>
          <w:p>
            <w:r/>
            <w:r>
              <w:rPr>
                <w:b w:val="0"/>
                <w:sz w:val="18"/>
              </w:rPr>
              <w:t>Orchestration</w:t>
            </w:r>
          </w:p>
        </w:tc>
        <w:tc>
          <w:tcPr>
            <w:tcW w:type="dxa" w:w="3389"/>
            <w:vAlign w:val="center"/>
          </w:tcPr>
          <w:p>
            <w:r/>
            <w:r>
              <w:rPr>
                <w:b w:val="0"/>
                <w:sz w:val="18"/>
              </w:rPr>
              <w:t>Coordinates specialists, retries, evidence/state flow, synthesis.</w:t>
            </w:r>
          </w:p>
        </w:tc>
        <w:tc>
          <w:tcPr>
            <w:tcW w:type="dxa" w:w="3389"/>
            <w:vAlign w:val="center"/>
          </w:tcPr>
          <w:p>
            <w:r/>
            <w:r>
              <w:rPr>
                <w:b w:val="0"/>
                <w:sz w:val="18"/>
              </w:rPr>
              <w:t>LangGraph-style supervisor workflow, typed state/contracts</w:t>
            </w:r>
          </w:p>
        </w:tc>
      </w:tr>
      <w:tr>
        <w:tc>
          <w:tcPr>
            <w:tcW w:type="dxa" w:w="3389"/>
            <w:vAlign w:val="center"/>
          </w:tcPr>
          <w:p>
            <w:r/>
            <w:r>
              <w:rPr>
                <w:b w:val="0"/>
                <w:sz w:val="18"/>
              </w:rPr>
              <w:t>Deterministic analytics</w:t>
            </w:r>
          </w:p>
        </w:tc>
        <w:tc>
          <w:tcPr>
            <w:tcW w:type="dxa" w:w="3389"/>
            <w:vAlign w:val="center"/>
          </w:tcPr>
          <w:p>
            <w:r/>
            <w:r>
              <w:rPr>
                <w:b w:val="0"/>
                <w:sz w:val="18"/>
              </w:rPr>
              <w:t>Market/financial features, scoring inputs, price/level calculations, validation.</w:t>
            </w:r>
          </w:p>
        </w:tc>
        <w:tc>
          <w:tcPr>
            <w:tcW w:type="dxa" w:w="3389"/>
            <w:vAlign w:val="center"/>
          </w:tcPr>
          <w:p>
            <w:r/>
            <w:r>
              <w:rPr>
                <w:b w:val="0"/>
                <w:sz w:val="18"/>
              </w:rPr>
              <w:t>Python, pandas/NumPy-style computation, domain modules</w:t>
            </w:r>
          </w:p>
        </w:tc>
      </w:tr>
      <w:tr>
        <w:tc>
          <w:tcPr>
            <w:tcW w:type="dxa" w:w="3389"/>
            <w:vAlign w:val="center"/>
          </w:tcPr>
          <w:p>
            <w:r/>
            <w:r>
              <w:rPr>
                <w:b w:val="0"/>
                <w:sz w:val="18"/>
              </w:rPr>
              <w:t>Specialist agents</w:t>
            </w:r>
          </w:p>
        </w:tc>
        <w:tc>
          <w:tcPr>
            <w:tcW w:type="dxa" w:w="3389"/>
            <w:vAlign w:val="center"/>
          </w:tcPr>
          <w:p>
            <w:r/>
            <w:r>
              <w:rPr>
                <w:b w:val="0"/>
                <w:sz w:val="18"/>
              </w:rPr>
              <w:t>Chart range, Levels, Fundamentals, News/Catalyst, Thesis/Scenario.</w:t>
            </w:r>
          </w:p>
        </w:tc>
        <w:tc>
          <w:tcPr>
            <w:tcW w:type="dxa" w:w="3389"/>
            <w:vAlign w:val="center"/>
          </w:tcPr>
          <w:p>
            <w:r/>
            <w:r>
              <w:rPr>
                <w:b w:val="0"/>
                <w:sz w:val="18"/>
              </w:rPr>
              <w:t>Structured LLM adapters + deterministic feature bundles</w:t>
            </w:r>
          </w:p>
        </w:tc>
      </w:tr>
      <w:tr>
        <w:tc>
          <w:tcPr>
            <w:tcW w:type="dxa" w:w="3389"/>
            <w:vAlign w:val="center"/>
          </w:tcPr>
          <w:p>
            <w:r/>
            <w:r>
              <w:rPr>
                <w:b w:val="0"/>
                <w:sz w:val="18"/>
              </w:rPr>
              <w:t>Risk &amp; integrity</w:t>
            </w:r>
          </w:p>
        </w:tc>
        <w:tc>
          <w:tcPr>
            <w:tcW w:type="dxa" w:w="3389"/>
            <w:vAlign w:val="center"/>
          </w:tcPr>
          <w:p>
            <w:r/>
            <w:r>
              <w:rPr>
                <w:b w:val="0"/>
                <w:sz w:val="18"/>
              </w:rPr>
              <w:t>Freshness, evidence, numeric integrity, provider disagreement, session validity, policy gates.</w:t>
            </w:r>
          </w:p>
        </w:tc>
        <w:tc>
          <w:tcPr>
            <w:tcW w:type="dxa" w:w="3389"/>
            <w:vAlign w:val="center"/>
          </w:tcPr>
          <w:p>
            <w:r/>
            <w:r>
              <w:rPr>
                <w:b w:val="0"/>
                <w:sz w:val="18"/>
              </w:rPr>
              <w:t>Deterministic validators + RiskGate</w:t>
            </w:r>
          </w:p>
        </w:tc>
      </w:tr>
      <w:tr>
        <w:tc>
          <w:tcPr>
            <w:tcW w:type="dxa" w:w="3389"/>
            <w:vAlign w:val="center"/>
          </w:tcPr>
          <w:p>
            <w:r/>
            <w:r>
              <w:rPr>
                <w:b w:val="0"/>
                <w:sz w:val="18"/>
              </w:rPr>
              <w:t>Persistence</w:t>
            </w:r>
          </w:p>
        </w:tc>
        <w:tc>
          <w:tcPr>
            <w:tcW w:type="dxa" w:w="3389"/>
            <w:vAlign w:val="center"/>
          </w:tcPr>
          <w:p>
            <w:r/>
            <w:r>
              <w:rPr>
                <w:b w:val="0"/>
                <w:sz w:val="18"/>
              </w:rPr>
              <w:t>Runs, reports, predictions, outcomes, evidence, research metadata, tenant data, shared snapshots.</w:t>
            </w:r>
          </w:p>
        </w:tc>
        <w:tc>
          <w:tcPr>
            <w:tcW w:type="dxa" w:w="3389"/>
            <w:vAlign w:val="center"/>
          </w:tcPr>
          <w:p>
            <w:r/>
            <w:r>
              <w:rPr>
                <w:b w:val="0"/>
                <w:sz w:val="18"/>
              </w:rPr>
              <w:t>PostgreSQL 15 on Cloud SQL, Alembic</w:t>
            </w:r>
          </w:p>
        </w:tc>
      </w:tr>
      <w:tr>
        <w:tc>
          <w:tcPr>
            <w:tcW w:type="dxa" w:w="3389"/>
            <w:vAlign w:val="center"/>
          </w:tcPr>
          <w:p>
            <w:r/>
            <w:r>
              <w:rPr>
                <w:b w:val="0"/>
                <w:sz w:val="18"/>
              </w:rPr>
              <w:t>Artifacts/secrets</w:t>
            </w:r>
          </w:p>
        </w:tc>
        <w:tc>
          <w:tcPr>
            <w:tcW w:type="dxa" w:w="3389"/>
            <w:vAlign w:val="center"/>
          </w:tcPr>
          <w:p>
            <w:r/>
            <w:r>
              <w:rPr>
                <w:b w:val="0"/>
                <w:sz w:val="18"/>
              </w:rPr>
              <w:t>Private/licensed artifacts and credentials.</w:t>
            </w:r>
          </w:p>
        </w:tc>
        <w:tc>
          <w:tcPr>
            <w:tcW w:type="dxa" w:w="3389"/>
            <w:vAlign w:val="center"/>
          </w:tcPr>
          <w:p>
            <w:r/>
            <w:r>
              <w:rPr>
                <w:b w:val="0"/>
                <w:sz w:val="18"/>
              </w:rPr>
              <w:t>Google Cloud Storage, Secret Manager</w:t>
            </w:r>
          </w:p>
        </w:tc>
      </w:tr>
      <w:tr>
        <w:tc>
          <w:tcPr>
            <w:tcW w:type="dxa" w:w="3389"/>
            <w:vAlign w:val="center"/>
          </w:tcPr>
          <w:p>
            <w:r/>
            <w:r>
              <w:rPr>
                <w:b w:val="0"/>
                <w:sz w:val="18"/>
              </w:rPr>
              <w:t>Hosting/identity</w:t>
            </w:r>
          </w:p>
        </w:tc>
        <w:tc>
          <w:tcPr>
            <w:tcW w:type="dxa" w:w="3389"/>
            <w:vAlign w:val="center"/>
          </w:tcPr>
          <w:p>
            <w:r/>
            <w:r>
              <w:rPr>
                <w:b w:val="0"/>
                <w:sz w:val="18"/>
              </w:rPr>
              <w:t>Private API runtime, IAM-based invocation, private DB networking.</w:t>
            </w:r>
          </w:p>
        </w:tc>
        <w:tc>
          <w:tcPr>
            <w:tcW w:type="dxa" w:w="3389"/>
            <w:vAlign w:val="center"/>
          </w:tcPr>
          <w:p>
            <w:r/>
            <w:r>
              <w:rPr>
                <w:b w:val="0"/>
                <w:sz w:val="18"/>
              </w:rPr>
              <w:t>Cloud Run, Artifact Registry, IAM, VPC, private Cloud SQL</w:t>
            </w:r>
          </w:p>
        </w:tc>
      </w:tr>
      <w:tr>
        <w:tc>
          <w:tcPr>
            <w:tcW w:type="dxa" w:w="3389"/>
            <w:vAlign w:val="center"/>
          </w:tcPr>
          <w:p>
            <w:r/>
            <w:r>
              <w:rPr>
                <w:b w:val="0"/>
                <w:sz w:val="18"/>
              </w:rPr>
              <w:t>Observability</w:t>
            </w:r>
          </w:p>
        </w:tc>
        <w:tc>
          <w:tcPr>
            <w:tcW w:type="dxa" w:w="3389"/>
            <w:vAlign w:val="center"/>
          </w:tcPr>
          <w:p>
            <w:r/>
            <w:r>
              <w:rPr>
                <w:b w:val="0"/>
                <w:sz w:val="18"/>
              </w:rPr>
              <w:t>Request/run correlation, revision, status, latency, safe workspace context.</w:t>
            </w:r>
          </w:p>
        </w:tc>
        <w:tc>
          <w:tcPr>
            <w:tcW w:type="dxa" w:w="3389"/>
            <w:vAlign w:val="center"/>
          </w:tcPr>
          <w:p>
            <w:r/>
            <w:r>
              <w:rPr>
                <w:b w:val="0"/>
                <w:sz w:val="18"/>
              </w:rPr>
              <w:t>Cloud Logging + application structured logs</w:t>
            </w:r>
          </w:p>
        </w:tc>
      </w:tr>
    </w:tbl>
    <w:p>
      <w:pPr>
        <w:pStyle w:val="Heading1"/>
      </w:pPr>
      <w:r>
        <w:t>4. Agent architecture</w:t>
      </w:r>
    </w:p>
    <w:p>
      <w:r>
        <w:t>Trading Copilot separates deterministic feature generation from agent interpretation. Specialists receive point-in-time feature bundles and evidence; they return typed assessments rather than free-form trading instructions.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102A43"/>
            <w:vAlign w:val="center"/>
          </w:tcPr>
          <w:p>
            <w:r/>
            <w:r>
              <w:rPr>
                <w:b/>
                <w:color w:val="FFFFFF"/>
                <w:sz w:val="18"/>
              </w:rPr>
              <w:t>Agent</w:t>
            </w:r>
          </w:p>
        </w:tc>
        <w:tc>
          <w:tcPr>
            <w:tcW w:type="dxa" w:w="2541"/>
            <w:shd w:fill="102A43"/>
            <w:vAlign w:val="center"/>
          </w:tcPr>
          <w:p>
            <w:r/>
            <w:r>
              <w:rPr>
                <w:b/>
                <w:color w:val="FFFFFF"/>
                <w:sz w:val="18"/>
              </w:rPr>
              <w:t>Primary inputs</w:t>
            </w:r>
          </w:p>
        </w:tc>
        <w:tc>
          <w:tcPr>
            <w:tcW w:type="dxa" w:w="2541"/>
            <w:shd w:fill="102A43"/>
            <w:vAlign w:val="center"/>
          </w:tcPr>
          <w:p>
            <w:r/>
            <w:r>
              <w:rPr>
                <w:b/>
                <w:color w:val="FFFFFF"/>
                <w:sz w:val="18"/>
              </w:rPr>
              <w:t>Structured output / role</w:t>
            </w:r>
          </w:p>
        </w:tc>
        <w:tc>
          <w:tcPr>
            <w:tcW w:type="dxa" w:w="2541"/>
            <w:shd w:fill="102A43"/>
            <w:vAlign w:val="center"/>
          </w:tcPr>
          <w:p>
            <w:r/>
            <w:r>
              <w:rPr>
                <w:b/>
                <w:color w:val="FFFFFF"/>
                <w:sz w:val="18"/>
              </w:rPr>
              <w:t>Prohibited behavior</w:t>
            </w:r>
          </w:p>
        </w:tc>
      </w:tr>
      <w:tr>
        <w:tc>
          <w:tcPr>
            <w:tcW w:type="dxa" w:w="2541"/>
            <w:vAlign w:val="center"/>
          </w:tcPr>
          <w:p>
            <w:r/>
            <w:r>
              <w:rPr>
                <w:b w:val="0"/>
                <w:sz w:val="18"/>
              </w:rPr>
              <w:t>ChartRangeAgent</w:t>
            </w:r>
          </w:p>
        </w:tc>
        <w:tc>
          <w:tcPr>
            <w:tcW w:type="dxa" w:w="2541"/>
            <w:vAlign w:val="center"/>
          </w:tcPr>
          <w:p>
            <w:r/>
            <w:r>
              <w:rPr>
                <w:b w:val="0"/>
                <w:sz w:val="18"/>
              </w:rPr>
              <w:t>Point-in-time OHLCV and deterministic technical features.</w:t>
            </w:r>
          </w:p>
        </w:tc>
        <w:tc>
          <w:tcPr>
            <w:tcW w:type="dxa" w:w="2541"/>
            <w:vAlign w:val="center"/>
          </w:tcPr>
          <w:p>
            <w:r/>
            <w:r>
              <w:rPr>
                <w:b w:val="0"/>
                <w:sz w:val="18"/>
              </w:rPr>
              <w:t>Range/trend/condition assessment with evidence and confidence.</w:t>
            </w:r>
          </w:p>
        </w:tc>
        <w:tc>
          <w:tcPr>
            <w:tcW w:type="dxa" w:w="2541"/>
            <w:vAlign w:val="center"/>
          </w:tcPr>
          <w:p>
            <w:r/>
            <w:r>
              <w:rPr>
                <w:b w:val="0"/>
                <w:sz w:val="18"/>
              </w:rPr>
              <w:t>May not calculate protected metrics in the LLM or set order size.</w:t>
            </w:r>
          </w:p>
        </w:tc>
      </w:tr>
      <w:tr>
        <w:tc>
          <w:tcPr>
            <w:tcW w:type="dxa" w:w="2541"/>
            <w:vAlign w:val="center"/>
          </w:tcPr>
          <w:p>
            <w:r/>
            <w:r>
              <w:rPr>
                <w:b w:val="0"/>
                <w:sz w:val="18"/>
              </w:rPr>
              <w:t>LevelsAgent</w:t>
            </w:r>
          </w:p>
        </w:tc>
        <w:tc>
          <w:tcPr>
            <w:tcW w:type="dxa" w:w="2541"/>
            <w:vAlign w:val="center"/>
          </w:tcPr>
          <w:p>
            <w:r/>
            <w:r>
              <w:rPr>
                <w:b w:val="0"/>
                <w:sz w:val="18"/>
              </w:rPr>
              <w:t>Confirmed pivots, support/resistance, ATR-derived structures, zones.</w:t>
            </w:r>
          </w:p>
        </w:tc>
        <w:tc>
          <w:tcPr>
            <w:tcW w:type="dxa" w:w="2541"/>
            <w:vAlign w:val="center"/>
          </w:tcPr>
          <w:p>
            <w:r/>
            <w:r>
              <w:rPr>
                <w:b w:val="0"/>
                <w:sz w:val="18"/>
              </w:rPr>
              <w:t>LevelsAssessment with evidence-linked levels and invalidation context.</w:t>
            </w:r>
          </w:p>
        </w:tc>
        <w:tc>
          <w:tcPr>
            <w:tcW w:type="dxa" w:w="2541"/>
            <w:vAlign w:val="center"/>
          </w:tcPr>
          <w:p>
            <w:r/>
            <w:r>
              <w:rPr>
                <w:b w:val="0"/>
                <w:sz w:val="18"/>
              </w:rPr>
              <w:t>May not invent levels unsupported by deterministic data.</w:t>
            </w:r>
          </w:p>
        </w:tc>
      </w:tr>
      <w:tr>
        <w:tc>
          <w:tcPr>
            <w:tcW w:type="dxa" w:w="2541"/>
            <w:vAlign w:val="center"/>
          </w:tcPr>
          <w:p>
            <w:r/>
            <w:r>
              <w:rPr>
                <w:b w:val="0"/>
                <w:sz w:val="18"/>
              </w:rPr>
              <w:t>FundamentalsAgent</w:t>
            </w:r>
          </w:p>
        </w:tc>
        <w:tc>
          <w:tcPr>
            <w:tcW w:type="dxa" w:w="2541"/>
            <w:vAlign w:val="center"/>
          </w:tcPr>
          <w:p>
            <w:r/>
            <w:r>
              <w:rPr>
                <w:b w:val="0"/>
                <w:sz w:val="18"/>
              </w:rPr>
              <w:t>SEC filings/XBRL facts, ratios, earnings fields, approved evidence.</w:t>
            </w:r>
          </w:p>
        </w:tc>
        <w:tc>
          <w:tcPr>
            <w:tcW w:type="dxa" w:w="2541"/>
            <w:vAlign w:val="center"/>
          </w:tcPr>
          <w:p>
            <w:r/>
            <w:r>
              <w:rPr>
                <w:b w:val="0"/>
                <w:sz w:val="18"/>
              </w:rPr>
              <w:t>FundamentalsAssessment: directional view, material risks, evidence.</w:t>
            </w:r>
          </w:p>
        </w:tc>
        <w:tc>
          <w:tcPr>
            <w:tcW w:type="dxa" w:w="2541"/>
            <w:vAlign w:val="center"/>
          </w:tcPr>
          <w:p>
            <w:r/>
            <w:r>
              <w:rPr>
                <w:b w:val="0"/>
                <w:sz w:val="18"/>
              </w:rPr>
              <w:t>May not submit/size trades or fabricate missing financial facts.</w:t>
            </w:r>
          </w:p>
        </w:tc>
      </w:tr>
      <w:tr>
        <w:tc>
          <w:tcPr>
            <w:tcW w:type="dxa" w:w="2541"/>
            <w:vAlign w:val="center"/>
          </w:tcPr>
          <w:p>
            <w:r/>
            <w:r>
              <w:rPr>
                <w:b w:val="0"/>
                <w:sz w:val="18"/>
              </w:rPr>
              <w:t>News/Catalyst Agent</w:t>
            </w:r>
          </w:p>
        </w:tc>
        <w:tc>
          <w:tcPr>
            <w:tcW w:type="dxa" w:w="2541"/>
            <w:vAlign w:val="center"/>
          </w:tcPr>
          <w:p>
            <w:r/>
            <w:r>
              <w:rPr>
                <w:b w:val="0"/>
                <w:sz w:val="18"/>
              </w:rPr>
              <w:t>Approved news/research/event inputs with provenance.</w:t>
            </w:r>
          </w:p>
        </w:tc>
        <w:tc>
          <w:tcPr>
            <w:tcW w:type="dxa" w:w="2541"/>
            <w:vAlign w:val="center"/>
          </w:tcPr>
          <w:p>
            <w:r/>
            <w:r>
              <w:rPr>
                <w:b w:val="0"/>
                <w:sz w:val="18"/>
              </w:rPr>
              <w:t>Catalyst/materiality assessment with citations.</w:t>
            </w:r>
          </w:p>
        </w:tc>
        <w:tc>
          <w:tcPr>
            <w:tcW w:type="dxa" w:w="2541"/>
            <w:vAlign w:val="center"/>
          </w:tcPr>
          <w:p>
            <w:r/>
            <w:r>
              <w:rPr>
                <w:b w:val="0"/>
                <w:sz w:val="18"/>
              </w:rPr>
              <w:t>May not treat unverified research as fact.</w:t>
            </w:r>
          </w:p>
        </w:tc>
      </w:tr>
      <w:tr>
        <w:tc>
          <w:tcPr>
            <w:tcW w:type="dxa" w:w="2541"/>
            <w:vAlign w:val="center"/>
          </w:tcPr>
          <w:p>
            <w:r/>
            <w:r>
              <w:rPr>
                <w:b w:val="0"/>
                <w:sz w:val="18"/>
              </w:rPr>
              <w:t>Thesis/Scenario Agent</w:t>
            </w:r>
          </w:p>
        </w:tc>
        <w:tc>
          <w:tcPr>
            <w:tcW w:type="dxa" w:w="2541"/>
            <w:vAlign w:val="center"/>
          </w:tcPr>
          <w:p>
            <w:r/>
            <w:r>
              <w:rPr>
                <w:b w:val="0"/>
                <w:sz w:val="18"/>
              </w:rPr>
              <w:t>Validated specialist outputs and evidence.</w:t>
            </w:r>
          </w:p>
        </w:tc>
        <w:tc>
          <w:tcPr>
            <w:tcW w:type="dxa" w:w="2541"/>
            <w:vAlign w:val="center"/>
          </w:tcPr>
          <w:p>
            <w:r/>
            <w:r>
              <w:rPr>
                <w:b w:val="0"/>
                <w:sz w:val="18"/>
              </w:rPr>
              <w:t>Structured thesis, scenarios, catalysts, invalidation.</w:t>
            </w:r>
          </w:p>
        </w:tc>
        <w:tc>
          <w:tcPr>
            <w:tcW w:type="dxa" w:w="2541"/>
            <w:vAlign w:val="center"/>
          </w:tcPr>
          <w:p>
            <w:r/>
            <w:r>
              <w:rPr>
                <w:b w:val="0"/>
                <w:sz w:val="18"/>
              </w:rPr>
              <w:t>May not override deterministic gates or issue executable orders.</w:t>
            </w:r>
          </w:p>
        </w:tc>
      </w:tr>
      <w:tr>
        <w:tc>
          <w:tcPr>
            <w:tcW w:type="dxa" w:w="2541"/>
            <w:vAlign w:val="center"/>
          </w:tcPr>
          <w:p>
            <w:r/>
            <w:r>
              <w:rPr>
                <w:b w:val="0"/>
                <w:sz w:val="18"/>
              </w:rPr>
              <w:t>Supervisor</w:t>
            </w:r>
          </w:p>
        </w:tc>
        <w:tc>
          <w:tcPr>
            <w:tcW w:type="dxa" w:w="2541"/>
            <w:vAlign w:val="center"/>
          </w:tcPr>
          <w:p>
            <w:r/>
            <w:r>
              <w:rPr>
                <w:b w:val="0"/>
                <w:sz w:val="18"/>
              </w:rPr>
              <w:t>Specialist state, evidence, validator results.</w:t>
            </w:r>
          </w:p>
        </w:tc>
        <w:tc>
          <w:tcPr>
            <w:tcW w:type="dxa" w:w="2541"/>
            <w:vAlign w:val="center"/>
          </w:tcPr>
          <w:p>
            <w:r/>
            <w:r>
              <w:rPr>
                <w:b w:val="0"/>
                <w:sz w:val="18"/>
              </w:rPr>
              <w:t>Coordinates workflow and deterministic synthesis.</w:t>
            </w:r>
          </w:p>
        </w:tc>
        <w:tc>
          <w:tcPr>
            <w:tcW w:type="dxa" w:w="2541"/>
            <w:vAlign w:val="center"/>
          </w:tcPr>
          <w:p>
            <w:r/>
            <w:r>
              <w:rPr>
                <w:b w:val="0"/>
                <w:sz w:val="18"/>
              </w:rPr>
              <w:t>May not bypass RiskGate or invent unavailable facts.</w:t>
            </w:r>
          </w:p>
        </w:tc>
      </w:tr>
    </w:tbl>
    <w:p>
      <w:pPr>
        <w:pStyle w:val="Heading1"/>
      </w:pPr>
      <w:r>
        <w:t>5. Deterministic analytics and scoring</w:t>
      </w:r>
    </w:p>
    <w:p>
      <w:r>
        <w:t>The system deliberately keeps quantitative computation outside the LLM boundary. Market bars are normalized and validated before features are computed. The deterministic recommendation scorer consumes validated facts and produces a relative score. Identical structured facts must produce identical scores regardless of which model/provider created the interpretation.</w:t>
      </w:r>
    </w:p>
    <w:p>
      <w:pPr>
        <w:pStyle w:val="ListBullet"/>
      </w:pPr>
      <w:r>
        <w:t>Protected calculations include RSI, ATR, pivots, moving averages, returns, volatility, price levels, financial ratios, MFE/MAE and related numeric transforms.</w:t>
      </w:r>
    </w:p>
    <w:p>
      <w:pPr>
        <w:pStyle w:val="ListBullet"/>
      </w:pPr>
      <w:r>
        <w:t>The score is a deterministic ranking/relativity signal, not a calibrated probability of profit.</w:t>
      </w:r>
    </w:p>
    <w:p>
      <w:pPr>
        <w:pStyle w:val="ListBullet"/>
      </w:pPr>
      <w:r>
        <w:t>Provider output may influence qualitative interpretation only through validated structured fields.</w:t>
      </w:r>
    </w:p>
    <w:p>
      <w:pPr>
        <w:pStyle w:val="ListBullet"/>
      </w:pPr>
      <w:r>
        <w:t>Cross-provider disagreement can trigger WARN/BLOCK rather than averaging incompatible facts.</w:t>
      </w:r>
    </w:p>
    <w:p>
      <w:pPr>
        <w:pStyle w:val="Heading1"/>
      </w:pPr>
      <w:r>
        <w:t>6. EvidenceLedger and provenance</w:t>
      </w:r>
    </w:p>
    <w:p>
      <w:r>
        <w:t>EvidenceLedger is the connective tissue between data retrieval, specialist reasoning, validation and UI citations. A material claim should be traceable to one or more evidence IDs. The system validates that cited IDs actually exist; missing or hallucinated evidence references can trigger RiskGate BLOCK.</w:t>
      </w:r>
    </w:p>
    <w:tbl>
      <w:tblPr>
        <w:tblStyle w:val="TableGrid"/>
        <w:tblW w:type="auto" w:w="0"/>
        <w:jc w:val="center"/>
        <w:tblLook w:firstColumn="1" w:firstRow="1" w:lastColumn="0" w:lastRow="0" w:noHBand="0" w:noVBand="1" w:val="04A0"/>
      </w:tblPr>
      <w:tblGrid>
        <w:gridCol w:w="5083"/>
        <w:gridCol w:w="5083"/>
      </w:tblGrid>
      <w:tr>
        <w:tc>
          <w:tcPr>
            <w:tcW w:type="dxa" w:w="5083"/>
            <w:shd w:fill="102A43"/>
            <w:vAlign w:val="center"/>
          </w:tcPr>
          <w:p>
            <w:r/>
            <w:r>
              <w:rPr>
                <w:b/>
                <w:color w:val="FFFFFF"/>
                <w:sz w:val="18"/>
              </w:rPr>
              <w:t>Provenance field</w:t>
            </w:r>
          </w:p>
        </w:tc>
        <w:tc>
          <w:tcPr>
            <w:tcW w:type="dxa" w:w="5083"/>
            <w:shd w:fill="102A43"/>
            <w:vAlign w:val="center"/>
          </w:tcPr>
          <w:p>
            <w:r/>
            <w:r>
              <w:rPr>
                <w:b/>
                <w:color w:val="FFFFFF"/>
                <w:sz w:val="18"/>
              </w:rPr>
              <w:t>Why it matters</w:t>
            </w:r>
          </w:p>
        </w:tc>
      </w:tr>
      <w:tr>
        <w:tc>
          <w:tcPr>
            <w:tcW w:type="dxa" w:w="5083"/>
            <w:vAlign w:val="center"/>
          </w:tcPr>
          <w:p>
            <w:r/>
            <w:r>
              <w:rPr>
                <w:b w:val="0"/>
                <w:sz w:val="18"/>
              </w:rPr>
              <w:t>evidence_id</w:t>
            </w:r>
          </w:p>
        </w:tc>
        <w:tc>
          <w:tcPr>
            <w:tcW w:type="dxa" w:w="5083"/>
            <w:vAlign w:val="center"/>
          </w:tcPr>
          <w:p>
            <w:r/>
            <w:r>
              <w:rPr>
                <w:b w:val="0"/>
                <w:sz w:val="18"/>
              </w:rPr>
              <w:t>Stable reference used by agents, validators and UI.</w:t>
            </w:r>
          </w:p>
        </w:tc>
      </w:tr>
      <w:tr>
        <w:tc>
          <w:tcPr>
            <w:tcW w:type="dxa" w:w="5083"/>
            <w:vAlign w:val="center"/>
          </w:tcPr>
          <w:p>
            <w:r/>
            <w:r>
              <w:rPr>
                <w:b w:val="0"/>
                <w:sz w:val="18"/>
              </w:rPr>
              <w:t>source / provider</w:t>
            </w:r>
          </w:p>
        </w:tc>
        <w:tc>
          <w:tcPr>
            <w:tcW w:type="dxa" w:w="5083"/>
            <w:vAlign w:val="center"/>
          </w:tcPr>
          <w:p>
            <w:r/>
            <w:r>
              <w:rPr>
                <w:b w:val="0"/>
                <w:sz w:val="18"/>
              </w:rPr>
              <w:t>Distinguishes SEC, market data, public research, licensed research, user-provided material, etc.</w:t>
            </w:r>
          </w:p>
        </w:tc>
      </w:tr>
      <w:tr>
        <w:tc>
          <w:tcPr>
            <w:tcW w:type="dxa" w:w="5083"/>
            <w:vAlign w:val="center"/>
          </w:tcPr>
          <w:p>
            <w:r/>
            <w:r>
              <w:rPr>
                <w:b w:val="0"/>
                <w:sz w:val="18"/>
              </w:rPr>
              <w:t>retrieved_at / available_at</w:t>
            </w:r>
          </w:p>
        </w:tc>
        <w:tc>
          <w:tcPr>
            <w:tcW w:type="dxa" w:w="5083"/>
            <w:vAlign w:val="center"/>
          </w:tcPr>
          <w:p>
            <w:r/>
            <w:r>
              <w:rPr>
                <w:b w:val="0"/>
                <w:sz w:val="18"/>
              </w:rPr>
              <w:t>Supports temporal eligibility and anti-lookahead.</w:t>
            </w:r>
          </w:p>
        </w:tc>
      </w:tr>
      <w:tr>
        <w:tc>
          <w:tcPr>
            <w:tcW w:type="dxa" w:w="5083"/>
            <w:vAlign w:val="center"/>
          </w:tcPr>
          <w:p>
            <w:r/>
            <w:r>
              <w:rPr>
                <w:b w:val="0"/>
                <w:sz w:val="18"/>
              </w:rPr>
              <w:t>as_of</w:t>
            </w:r>
          </w:p>
        </w:tc>
        <w:tc>
          <w:tcPr>
            <w:tcW w:type="dxa" w:w="5083"/>
            <w:vAlign w:val="center"/>
          </w:tcPr>
          <w:p>
            <w:r/>
            <w:r>
              <w:rPr>
                <w:b w:val="0"/>
                <w:sz w:val="18"/>
              </w:rPr>
              <w:t>Defines the run’s point-in-time boundary.</w:t>
            </w:r>
          </w:p>
        </w:tc>
      </w:tr>
      <w:tr>
        <w:tc>
          <w:tcPr>
            <w:tcW w:type="dxa" w:w="5083"/>
            <w:vAlign w:val="center"/>
          </w:tcPr>
          <w:p>
            <w:r/>
            <w:r>
              <w:rPr>
                <w:b w:val="0"/>
                <w:sz w:val="18"/>
              </w:rPr>
              <w:t>content hash</w:t>
            </w:r>
          </w:p>
        </w:tc>
        <w:tc>
          <w:tcPr>
            <w:tcW w:type="dxa" w:w="5083"/>
            <w:vAlign w:val="center"/>
          </w:tcPr>
          <w:p>
            <w:r/>
            <w:r>
              <w:rPr>
                <w:b w:val="0"/>
                <w:sz w:val="18"/>
              </w:rPr>
              <w:t>Supports integrity, deduplication and migration reconciliation.</w:t>
            </w:r>
          </w:p>
        </w:tc>
      </w:tr>
      <w:tr>
        <w:tc>
          <w:tcPr>
            <w:tcW w:type="dxa" w:w="5083"/>
            <w:vAlign w:val="center"/>
          </w:tcPr>
          <w:p>
            <w:r/>
            <w:r>
              <w:rPr>
                <w:b w:val="0"/>
                <w:sz w:val="18"/>
              </w:rPr>
              <w:t>provider/model/config version</w:t>
            </w:r>
          </w:p>
        </w:tc>
        <w:tc>
          <w:tcPr>
            <w:tcW w:type="dxa" w:w="5083"/>
            <w:vAlign w:val="center"/>
          </w:tcPr>
          <w:p>
            <w:r/>
            <w:r>
              <w:rPr>
                <w:b w:val="0"/>
                <w:sz w:val="18"/>
              </w:rPr>
              <w:t>Makes analytical output reproducible and auditable.</w:t>
            </w:r>
          </w:p>
        </w:tc>
      </w:tr>
    </w:tbl>
    <w:p>
      <w:pPr>
        <w:pStyle w:val="Heading1"/>
      </w:pPr>
      <w:r>
        <w:t>7. Guardrails and gates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02A43"/>
            <w:vAlign w:val="center"/>
          </w:tcPr>
          <w:p>
            <w:r/>
            <w:r>
              <w:rPr>
                <w:b/>
                <w:color w:val="FFFFFF"/>
                <w:sz w:val="18"/>
              </w:rPr>
              <w:t>Gate / validator</w:t>
            </w:r>
          </w:p>
        </w:tc>
        <w:tc>
          <w:tcPr>
            <w:tcW w:type="dxa" w:w="3389"/>
            <w:shd w:fill="102A43"/>
            <w:vAlign w:val="center"/>
          </w:tcPr>
          <w:p>
            <w:r/>
            <w:r>
              <w:rPr>
                <w:b/>
                <w:color w:val="FFFFFF"/>
                <w:sz w:val="18"/>
              </w:rPr>
              <w:t>Purpose</w:t>
            </w:r>
          </w:p>
        </w:tc>
        <w:tc>
          <w:tcPr>
            <w:tcW w:type="dxa" w:w="3389"/>
            <w:shd w:fill="102A43"/>
            <w:vAlign w:val="center"/>
          </w:tcPr>
          <w:p>
            <w:r/>
            <w:r>
              <w:rPr>
                <w:b/>
                <w:color w:val="FFFFFF"/>
                <w:sz w:val="18"/>
              </w:rPr>
              <w:t>Typical result</w:t>
            </w:r>
          </w:p>
        </w:tc>
      </w:tr>
      <w:tr>
        <w:tc>
          <w:tcPr>
            <w:tcW w:type="dxa" w:w="3389"/>
            <w:vAlign w:val="center"/>
          </w:tcPr>
          <w:p>
            <w:r/>
            <w:r>
              <w:rPr>
                <w:b w:val="0"/>
                <w:sz w:val="18"/>
              </w:rPr>
              <w:t>Input/schema gate</w:t>
            </w:r>
          </w:p>
        </w:tc>
        <w:tc>
          <w:tcPr>
            <w:tcW w:type="dxa" w:w="3389"/>
            <w:vAlign w:val="center"/>
          </w:tcPr>
          <w:p>
            <w:r/>
            <w:r>
              <w:rPr>
                <w:b w:val="0"/>
                <w:sz w:val="18"/>
              </w:rPr>
              <w:t>Reject malformed or incomplete typed inputs.</w:t>
            </w:r>
          </w:p>
        </w:tc>
        <w:tc>
          <w:tcPr>
            <w:tcW w:type="dxa" w:w="3389"/>
            <w:vAlign w:val="center"/>
          </w:tcPr>
          <w:p>
            <w:r/>
            <w:r>
              <w:rPr>
                <w:b w:val="0"/>
                <w:sz w:val="18"/>
              </w:rPr>
              <w:t>Reject/422 or controlled failure.</w:t>
            </w:r>
          </w:p>
        </w:tc>
      </w:tr>
      <w:tr>
        <w:tc>
          <w:tcPr>
            <w:tcW w:type="dxa" w:w="3389"/>
            <w:vAlign w:val="center"/>
          </w:tcPr>
          <w:p>
            <w:r/>
            <w:r>
              <w:rPr>
                <w:b w:val="0"/>
                <w:sz w:val="18"/>
              </w:rPr>
              <w:t>Temporal/as_of gate</w:t>
            </w:r>
          </w:p>
        </w:tc>
        <w:tc>
          <w:tcPr>
            <w:tcW w:type="dxa" w:w="3389"/>
            <w:vAlign w:val="center"/>
          </w:tcPr>
          <w:p>
            <w:r/>
            <w:r>
              <w:rPr>
                <w:b w:val="0"/>
                <w:sz w:val="18"/>
              </w:rPr>
              <w:t>Prevent use of future bars, filings, pivots, outcomes or research.</w:t>
            </w:r>
          </w:p>
        </w:tc>
        <w:tc>
          <w:tcPr>
            <w:tcW w:type="dxa" w:w="3389"/>
            <w:vAlign w:val="center"/>
          </w:tcPr>
          <w:p>
            <w:r/>
            <w:r>
              <w:rPr>
                <w:b w:val="0"/>
                <w:sz w:val="18"/>
              </w:rPr>
              <w:t>UNKNOWN/WARN/BLOCK depending on severity.</w:t>
            </w:r>
          </w:p>
        </w:tc>
      </w:tr>
      <w:tr>
        <w:tc>
          <w:tcPr>
            <w:tcW w:type="dxa" w:w="3389"/>
            <w:vAlign w:val="center"/>
          </w:tcPr>
          <w:p>
            <w:r/>
            <w:r>
              <w:rPr>
                <w:b w:val="0"/>
                <w:sz w:val="18"/>
              </w:rPr>
              <w:t>Data freshness gate</w:t>
            </w:r>
          </w:p>
        </w:tc>
        <w:tc>
          <w:tcPr>
            <w:tcW w:type="dxa" w:w="3389"/>
            <w:vAlign w:val="center"/>
          </w:tcPr>
          <w:p>
            <w:r/>
            <w:r>
              <w:rPr>
                <w:b w:val="0"/>
                <w:sz w:val="18"/>
              </w:rPr>
              <w:t>Prevent stale data from being treated as current, especially for DAY/SHORT_TERM.</w:t>
            </w:r>
          </w:p>
        </w:tc>
        <w:tc>
          <w:tcPr>
            <w:tcW w:type="dxa" w:w="3389"/>
            <w:vAlign w:val="center"/>
          </w:tcPr>
          <w:p>
            <w:r/>
            <w:r>
              <w:rPr>
                <w:b w:val="0"/>
                <w:sz w:val="18"/>
              </w:rPr>
              <w:t>NO_TRADE/WARN/BLOCK.</w:t>
            </w:r>
          </w:p>
        </w:tc>
      </w:tr>
      <w:tr>
        <w:tc>
          <w:tcPr>
            <w:tcW w:type="dxa" w:w="3389"/>
            <w:vAlign w:val="center"/>
          </w:tcPr>
          <w:p>
            <w:r/>
            <w:r>
              <w:rPr>
                <w:b w:val="0"/>
                <w:sz w:val="18"/>
              </w:rPr>
              <w:t>Price integrity gate</w:t>
            </w:r>
          </w:p>
        </w:tc>
        <w:tc>
          <w:tcPr>
            <w:tcW w:type="dxa" w:w="3389"/>
            <w:vAlign w:val="center"/>
          </w:tcPr>
          <w:p>
            <w:r/>
            <w:r>
              <w:rPr>
                <w:b w:val="0"/>
                <w:sz w:val="18"/>
              </w:rPr>
              <w:t>Detect mismatched current price, stale feature state, ticker contamination, or excessive provider disagreement.</w:t>
            </w:r>
          </w:p>
        </w:tc>
        <w:tc>
          <w:tcPr>
            <w:tcW w:type="dxa" w:w="3389"/>
            <w:vAlign w:val="center"/>
          </w:tcPr>
          <w:p>
            <w:r/>
            <w:r>
              <w:rPr>
                <w:b w:val="0"/>
                <w:sz w:val="18"/>
              </w:rPr>
              <w:t>BLOCK.</w:t>
            </w:r>
          </w:p>
        </w:tc>
      </w:tr>
      <w:tr>
        <w:tc>
          <w:tcPr>
            <w:tcW w:type="dxa" w:w="3389"/>
            <w:vAlign w:val="center"/>
          </w:tcPr>
          <w:p>
            <w:r/>
            <w:r>
              <w:rPr>
                <w:b w:val="0"/>
                <w:sz w:val="18"/>
              </w:rPr>
              <w:t>Numeric integrity validator</w:t>
            </w:r>
          </w:p>
        </w:tc>
        <w:tc>
          <w:tcPr>
            <w:tcW w:type="dxa" w:w="3389"/>
            <w:vAlign w:val="center"/>
          </w:tcPr>
          <w:p>
            <w:r/>
            <w:r>
              <w:rPr>
                <w:b w:val="0"/>
                <w:sz w:val="18"/>
              </w:rPr>
              <w:t>Reject LLM/provider mutation of deterministic facts.</w:t>
            </w:r>
          </w:p>
        </w:tc>
        <w:tc>
          <w:tcPr>
            <w:tcW w:type="dxa" w:w="3389"/>
            <w:vAlign w:val="center"/>
          </w:tcPr>
          <w:p>
            <w:r/>
            <w:r>
              <w:rPr>
                <w:b w:val="0"/>
                <w:sz w:val="18"/>
              </w:rPr>
              <w:t>Retry or BLOCK.</w:t>
            </w:r>
          </w:p>
        </w:tc>
      </w:tr>
      <w:tr>
        <w:tc>
          <w:tcPr>
            <w:tcW w:type="dxa" w:w="3389"/>
            <w:vAlign w:val="center"/>
          </w:tcPr>
          <w:p>
            <w:r/>
            <w:r>
              <w:rPr>
                <w:b w:val="0"/>
                <w:sz w:val="18"/>
              </w:rPr>
              <w:t>Evidence validator</w:t>
            </w:r>
          </w:p>
        </w:tc>
        <w:tc>
          <w:tcPr>
            <w:tcW w:type="dxa" w:w="3389"/>
            <w:vAlign w:val="center"/>
          </w:tcPr>
          <w:p>
            <w:r/>
            <w:r>
              <w:rPr>
                <w:b w:val="0"/>
                <w:sz w:val="18"/>
              </w:rPr>
              <w:t>Verify cited EvidenceLedger records exist and support the claim.</w:t>
            </w:r>
          </w:p>
        </w:tc>
        <w:tc>
          <w:tcPr>
            <w:tcW w:type="dxa" w:w="3389"/>
            <w:vAlign w:val="center"/>
          </w:tcPr>
          <w:p>
            <w:r/>
            <w:r>
              <w:rPr>
                <w:b w:val="0"/>
                <w:sz w:val="18"/>
              </w:rPr>
              <w:t>WARN/BLOCK.</w:t>
            </w:r>
          </w:p>
        </w:tc>
      </w:tr>
      <w:tr>
        <w:tc>
          <w:tcPr>
            <w:tcW w:type="dxa" w:w="3389"/>
            <w:vAlign w:val="center"/>
          </w:tcPr>
          <w:p>
            <w:r/>
            <w:r>
              <w:rPr>
                <w:b w:val="0"/>
                <w:sz w:val="18"/>
              </w:rPr>
              <w:t>Retry integrity validator</w:t>
            </w:r>
          </w:p>
        </w:tc>
        <w:tc>
          <w:tcPr>
            <w:tcW w:type="dxa" w:w="3389"/>
            <w:vAlign w:val="center"/>
          </w:tcPr>
          <w:p>
            <w:r/>
            <w:r>
              <w:rPr>
                <w:b w:val="0"/>
                <w:sz w:val="18"/>
              </w:rPr>
              <w:t>Prevent retry from turning UNKNOWN into unsupported certainty.</w:t>
            </w:r>
          </w:p>
        </w:tc>
        <w:tc>
          <w:tcPr>
            <w:tcW w:type="dxa" w:w="3389"/>
            <w:vAlign w:val="center"/>
          </w:tcPr>
          <w:p>
            <w:r/>
            <w:r>
              <w:rPr>
                <w:b w:val="0"/>
                <w:sz w:val="18"/>
              </w:rPr>
              <w:t>Reject retry output.</w:t>
            </w:r>
          </w:p>
        </w:tc>
      </w:tr>
      <w:tr>
        <w:tc>
          <w:tcPr>
            <w:tcW w:type="dxa" w:w="3389"/>
            <w:vAlign w:val="center"/>
          </w:tcPr>
          <w:p>
            <w:r/>
            <w:r>
              <w:rPr>
                <w:b w:val="0"/>
                <w:sz w:val="18"/>
              </w:rPr>
              <w:t>Market/session gate</w:t>
            </w:r>
          </w:p>
        </w:tc>
        <w:tc>
          <w:tcPr>
            <w:tcW w:type="dxa" w:w="3389"/>
            <w:vAlign w:val="center"/>
          </w:tcPr>
          <w:p>
            <w:r/>
            <w:r>
              <w:rPr>
                <w:b w:val="0"/>
                <w:sz w:val="18"/>
              </w:rPr>
              <w:t>Ensure DAY analysis respects session state and trading calendar.</w:t>
            </w:r>
          </w:p>
        </w:tc>
        <w:tc>
          <w:tcPr>
            <w:tcW w:type="dxa" w:w="3389"/>
            <w:vAlign w:val="center"/>
          </w:tcPr>
          <w:p>
            <w:r/>
            <w:r>
              <w:rPr>
                <w:b w:val="0"/>
                <w:sz w:val="18"/>
              </w:rPr>
              <w:t>NO_TRADE / SESSION_CLOSED.</w:t>
            </w:r>
          </w:p>
        </w:tc>
      </w:tr>
      <w:tr>
        <w:tc>
          <w:tcPr>
            <w:tcW w:type="dxa" w:w="3389"/>
            <w:vAlign w:val="center"/>
          </w:tcPr>
          <w:p>
            <w:r/>
            <w:r>
              <w:rPr>
                <w:b w:val="0"/>
                <w:sz w:val="18"/>
              </w:rPr>
              <w:t>Liquidity/spread gate</w:t>
            </w:r>
          </w:p>
        </w:tc>
        <w:tc>
          <w:tcPr>
            <w:tcW w:type="dxa" w:w="3389"/>
            <w:vAlign w:val="center"/>
          </w:tcPr>
          <w:p>
            <w:r/>
            <w:r>
              <w:rPr>
                <w:b w:val="0"/>
                <w:sz w:val="18"/>
              </w:rPr>
              <w:t>Reject short-horizon setups with inadequate liquidity or excessive option spread.</w:t>
            </w:r>
          </w:p>
        </w:tc>
        <w:tc>
          <w:tcPr>
            <w:tcW w:type="dxa" w:w="3389"/>
            <w:vAlign w:val="center"/>
          </w:tcPr>
          <w:p>
            <w:r/>
            <w:r>
              <w:rPr>
                <w:b w:val="0"/>
                <w:sz w:val="18"/>
              </w:rPr>
              <w:t>HOLD/NO_TRADE/WARN.</w:t>
            </w:r>
          </w:p>
        </w:tc>
      </w:tr>
      <w:tr>
        <w:tc>
          <w:tcPr>
            <w:tcW w:type="dxa" w:w="3389"/>
            <w:vAlign w:val="center"/>
          </w:tcPr>
          <w:p>
            <w:r/>
            <w:r>
              <w:rPr>
                <w:b w:val="0"/>
                <w:sz w:val="18"/>
              </w:rPr>
              <w:t>RiskGate</w:t>
            </w:r>
          </w:p>
        </w:tc>
        <w:tc>
          <w:tcPr>
            <w:tcW w:type="dxa" w:w="3389"/>
            <w:vAlign w:val="center"/>
          </w:tcPr>
          <w:p>
            <w:r/>
            <w:r>
              <w:rPr>
                <w:b w:val="0"/>
                <w:sz w:val="18"/>
              </w:rPr>
              <w:t>Final deterministic safety/integrity aggregation.</w:t>
            </w:r>
          </w:p>
        </w:tc>
        <w:tc>
          <w:tcPr>
            <w:tcW w:type="dxa" w:w="3389"/>
            <w:vAlign w:val="center"/>
          </w:tcPr>
          <w:p>
            <w:r/>
            <w:r>
              <w:rPr>
                <w:b w:val="0"/>
                <w:sz w:val="18"/>
              </w:rPr>
              <w:t>PASS/WARN/BLOCK; BLOCK suppresses recommendation.</w:t>
            </w:r>
          </w:p>
        </w:tc>
      </w:tr>
    </w:tbl>
    <w:tbl>
      <w:tblPr>
        <w:tblW w:type="auto" w:w="0"/>
        <w:jc w:val="center"/>
        <w:tblLook w:firstColumn="1" w:firstRow="1" w:lastColumn="0" w:lastRow="0" w:noHBand="0" w:noVBand="1" w:val="04A0"/>
      </w:tblPr>
      <w:tblGrid>
        <w:gridCol w:w="10166"/>
      </w:tblGrid>
      <w:tr>
        <w:tc>
          <w:tcPr>
            <w:tcW w:type="dxa" w:w="10166"/>
            <w:shd w:fill="EAF2FF"/>
          </w:tcPr>
          <w:p>
            <w:r/>
          </w:p>
          <w:p>
            <w:r>
              <w:rPr>
                <w:b/>
                <w:color w:val="102A43"/>
                <w:sz w:val="22"/>
              </w:rPr>
              <w:t>Fail-closed principle</w:t>
            </w:r>
          </w:p>
          <w:p>
            <w:pPr>
              <w:spacing w:after="40"/>
            </w:pPr>
            <w:r>
              <w:t>The system is designed to abstain, warn, or block when evidence or integrity is inadequate. A missing fact should degrade the result rather than be filled by model confidence.</w:t>
            </w:r>
          </w:p>
        </w:tc>
      </w:tr>
    </w:tbl>
    <w:p>
      <w:pPr>
        <w:pStyle w:val="Heading1"/>
      </w:pPr>
      <w:r>
        <w:t>8. Anti-lookahead and temporal integrity</w:t>
      </w:r>
    </w:p>
    <w:p>
      <w:pPr>
        <w:pStyle w:val="ListBullet"/>
      </w:pPr>
      <w:r>
        <w:t>A fixed as_of is carried through each run.</w:t>
      </w:r>
    </w:p>
    <w:p>
      <w:pPr>
        <w:pStyle w:val="ListBullet"/>
      </w:pPr>
      <w:r>
        <w:t>SEC filings are eligible only when accepted_at &lt;= as_of.</w:t>
      </w:r>
    </w:p>
    <w:p>
      <w:pPr>
        <w:pStyle w:val="ListBullet"/>
      </w:pPr>
      <w:r>
        <w:t>Market bars must be available by as_of and selected chronologically.</w:t>
      </w:r>
    </w:p>
    <w:p>
      <w:pPr>
        <w:pStyle w:val="ListBullet"/>
      </w:pPr>
      <w:r>
        <w:t>Confirmed pivots are not used before their confirmation point.</w:t>
      </w:r>
    </w:p>
    <w:p>
      <w:pPr>
        <w:pStyle w:val="ListBullet"/>
      </w:pPr>
      <w:r>
        <w:t>Research documents use actual ingestion/availability time, not only publication/issue date.</w:t>
      </w:r>
    </w:p>
    <w:p>
      <w:pPr>
        <w:pStyle w:val="ListBullet"/>
      </w:pPr>
      <w:r>
        <w:t>Prediction outcomes are stored after the fact in a separate structure; they do not mutate the original PredictionRecord.</w:t>
      </w:r>
    </w:p>
    <w:p>
      <w:pPr>
        <w:pStyle w:val="Heading1"/>
      </w:pPr>
      <w:r>
        <w:t>9. Tracing and observability</w:t>
      </w:r>
    </w:p>
    <w:p>
      <w:r>
        <w:t>Tracing is implemented as business-level correlation rather than opaque model logs. A portal request can be followed from the UI into Cloud Run, through the run state and EvidenceLedger, and into persisted reports/outcomes.</w:t>
      </w:r>
    </w:p>
    <w:tbl>
      <w:tblPr>
        <w:tblStyle w:val="TableGrid"/>
        <w:tblW w:type="auto" w:w="0"/>
        <w:jc w:val="center"/>
        <w:tblLook w:firstColumn="1" w:firstRow="1" w:lastColumn="0" w:lastRow="0" w:noHBand="0" w:noVBand="1" w:val="04A0"/>
      </w:tblPr>
      <w:tblGrid>
        <w:gridCol w:w="5083"/>
        <w:gridCol w:w="5083"/>
      </w:tblGrid>
      <w:tr>
        <w:tc>
          <w:tcPr>
            <w:tcW w:type="dxa" w:w="5083"/>
            <w:shd w:fill="102A43"/>
            <w:vAlign w:val="center"/>
          </w:tcPr>
          <w:p>
            <w:r/>
            <w:r>
              <w:rPr>
                <w:b/>
                <w:color w:val="FFFFFF"/>
                <w:sz w:val="18"/>
              </w:rPr>
              <w:t>Trace identifier</w:t>
            </w:r>
          </w:p>
        </w:tc>
        <w:tc>
          <w:tcPr>
            <w:tcW w:type="dxa" w:w="5083"/>
            <w:shd w:fill="102A43"/>
            <w:vAlign w:val="center"/>
          </w:tcPr>
          <w:p>
            <w:r/>
            <w:r>
              <w:rPr>
                <w:b/>
                <w:color w:val="FFFFFF"/>
                <w:sz w:val="18"/>
              </w:rPr>
              <w:t>Use</w:t>
            </w:r>
          </w:p>
        </w:tc>
      </w:tr>
      <w:tr>
        <w:tc>
          <w:tcPr>
            <w:tcW w:type="dxa" w:w="5083"/>
            <w:vAlign w:val="center"/>
          </w:tcPr>
          <w:p>
            <w:r/>
            <w:r>
              <w:rPr>
                <w:b w:val="0"/>
                <w:sz w:val="18"/>
              </w:rPr>
              <w:t>request_id</w:t>
            </w:r>
          </w:p>
        </w:tc>
        <w:tc>
          <w:tcPr>
            <w:tcW w:type="dxa" w:w="5083"/>
            <w:vAlign w:val="center"/>
          </w:tcPr>
          <w:p>
            <w:r/>
            <w:r>
              <w:rPr>
                <w:b w:val="0"/>
                <w:sz w:val="18"/>
              </w:rPr>
              <w:t>Correlates portal request with API/service logs and error handling.</w:t>
            </w:r>
          </w:p>
        </w:tc>
      </w:tr>
      <w:tr>
        <w:tc>
          <w:tcPr>
            <w:tcW w:type="dxa" w:w="5083"/>
            <w:vAlign w:val="center"/>
          </w:tcPr>
          <w:p>
            <w:r/>
            <w:r>
              <w:rPr>
                <w:b w:val="0"/>
                <w:sz w:val="18"/>
              </w:rPr>
              <w:t>run_id</w:t>
            </w:r>
          </w:p>
        </w:tc>
        <w:tc>
          <w:tcPr>
            <w:tcW w:type="dxa" w:w="5083"/>
            <w:vAlign w:val="center"/>
          </w:tcPr>
          <w:p>
            <w:r/>
            <w:r>
              <w:rPr>
                <w:b w:val="0"/>
                <w:sz w:val="18"/>
              </w:rPr>
              <w:t>Primary identity for a Trading Copilot analysis run and HITL decisions.</w:t>
            </w:r>
          </w:p>
        </w:tc>
      </w:tr>
      <w:tr>
        <w:tc>
          <w:tcPr>
            <w:tcW w:type="dxa" w:w="5083"/>
            <w:vAlign w:val="center"/>
          </w:tcPr>
          <w:p>
            <w:r/>
            <w:r>
              <w:rPr>
                <w:b w:val="0"/>
                <w:sz w:val="18"/>
              </w:rPr>
              <w:t>workspace_id</w:t>
            </w:r>
          </w:p>
        </w:tc>
        <w:tc>
          <w:tcPr>
            <w:tcW w:type="dxa" w:w="5083"/>
            <w:vAlign w:val="center"/>
          </w:tcPr>
          <w:p>
            <w:r/>
            <w:r>
              <w:rPr>
                <w:b w:val="0"/>
                <w:sz w:val="18"/>
              </w:rPr>
              <w:t>Tenant boundary and safe operational context.</w:t>
            </w:r>
          </w:p>
        </w:tc>
      </w:tr>
      <w:tr>
        <w:tc>
          <w:tcPr>
            <w:tcW w:type="dxa" w:w="5083"/>
            <w:vAlign w:val="center"/>
          </w:tcPr>
          <w:p>
            <w:r/>
            <w:r>
              <w:rPr>
                <w:b w:val="0"/>
                <w:sz w:val="18"/>
              </w:rPr>
              <w:t>ticker + as_of</w:t>
            </w:r>
          </w:p>
        </w:tc>
        <w:tc>
          <w:tcPr>
            <w:tcW w:type="dxa" w:w="5083"/>
            <w:vAlign w:val="center"/>
          </w:tcPr>
          <w:p>
            <w:r/>
            <w:r>
              <w:rPr>
                <w:b w:val="0"/>
                <w:sz w:val="18"/>
              </w:rPr>
              <w:t>Reconstructs the point-in-time analytical context.</w:t>
            </w:r>
          </w:p>
        </w:tc>
      </w:tr>
      <w:tr>
        <w:tc>
          <w:tcPr>
            <w:tcW w:type="dxa" w:w="5083"/>
            <w:vAlign w:val="center"/>
          </w:tcPr>
          <w:p>
            <w:r/>
            <w:r>
              <w:rPr>
                <w:b w:val="0"/>
                <w:sz w:val="18"/>
              </w:rPr>
              <w:t>evidence_ids</w:t>
            </w:r>
          </w:p>
        </w:tc>
        <w:tc>
          <w:tcPr>
            <w:tcW w:type="dxa" w:w="5083"/>
            <w:vAlign w:val="center"/>
          </w:tcPr>
          <w:p>
            <w:r/>
            <w:r>
              <w:rPr>
                <w:b w:val="0"/>
                <w:sz w:val="18"/>
              </w:rPr>
              <w:t>Links claims back to the exact evidence records.</w:t>
            </w:r>
          </w:p>
        </w:tc>
      </w:tr>
      <w:tr>
        <w:tc>
          <w:tcPr>
            <w:tcW w:type="dxa" w:w="5083"/>
            <w:vAlign w:val="center"/>
          </w:tcPr>
          <w:p>
            <w:r/>
            <w:r>
              <w:rPr>
                <w:b w:val="0"/>
                <w:sz w:val="18"/>
              </w:rPr>
              <w:t>provider/model/version</w:t>
            </w:r>
          </w:p>
        </w:tc>
        <w:tc>
          <w:tcPr>
            <w:tcW w:type="dxa" w:w="5083"/>
            <w:vAlign w:val="center"/>
          </w:tcPr>
          <w:p>
            <w:r/>
            <w:r>
              <w:rPr>
                <w:b w:val="0"/>
                <w:sz w:val="18"/>
              </w:rPr>
              <w:t>Explains which interpretation path was used.</w:t>
            </w:r>
          </w:p>
        </w:tc>
      </w:tr>
      <w:tr>
        <w:tc>
          <w:tcPr>
            <w:tcW w:type="dxa" w:w="5083"/>
            <w:vAlign w:val="center"/>
          </w:tcPr>
          <w:p>
            <w:r/>
            <w:r>
              <w:rPr>
                <w:b w:val="0"/>
                <w:sz w:val="18"/>
              </w:rPr>
              <w:t>service revision / commit SHA</w:t>
            </w:r>
          </w:p>
        </w:tc>
        <w:tc>
          <w:tcPr>
            <w:tcW w:type="dxa" w:w="5083"/>
            <w:vAlign w:val="center"/>
          </w:tcPr>
          <w:p>
            <w:r/>
            <w:r>
              <w:rPr>
                <w:b w:val="0"/>
                <w:sz w:val="18"/>
              </w:rPr>
              <w:t>Links runtime behavior to deployed code.</w:t>
            </w:r>
          </w:p>
        </w:tc>
      </w:tr>
      <w:tr>
        <w:tc>
          <w:tcPr>
            <w:tcW w:type="dxa" w:w="5083"/>
            <w:vAlign w:val="center"/>
          </w:tcPr>
          <w:p>
            <w:r/>
            <w:r>
              <w:rPr>
                <w:b w:val="0"/>
                <w:sz w:val="18"/>
              </w:rPr>
              <w:t>PredictionRecord / PredictionOutcome IDs</w:t>
            </w:r>
          </w:p>
        </w:tc>
        <w:tc>
          <w:tcPr>
            <w:tcW w:type="dxa" w:w="5083"/>
            <w:vAlign w:val="center"/>
          </w:tcPr>
          <w:p>
            <w:r/>
            <w:r>
              <w:rPr>
                <w:b w:val="0"/>
                <w:sz w:val="18"/>
              </w:rPr>
              <w:t>Separate forecast-time state from later observed results.</w:t>
            </w:r>
          </w:p>
        </w:tc>
      </w:tr>
    </w:tbl>
    <w:p>
      <w:r>
        <w:t>Cloud logging was validated to capture request IDs, status, latency and safe context while excluding secrets, provider keys, authorization tokens, private document bodies and licensed content.</w:t>
      </w:r>
    </w:p>
    <w:p>
      <w:pPr>
        <w:pStyle w:val="Heading1"/>
      </w:pPr>
      <w:r>
        <w:t>10. Multi-tenancy and SafeReusePolicy</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02A43"/>
            <w:vAlign w:val="center"/>
          </w:tcPr>
          <w:p>
            <w:r/>
            <w:r>
              <w:rPr>
                <w:b/>
                <w:color w:val="FFFFFF"/>
                <w:sz w:val="18"/>
              </w:rPr>
              <w:t>Classification</w:t>
            </w:r>
          </w:p>
        </w:tc>
        <w:tc>
          <w:tcPr>
            <w:tcW w:type="dxa" w:w="3389"/>
            <w:shd w:fill="102A43"/>
            <w:vAlign w:val="center"/>
          </w:tcPr>
          <w:p>
            <w:r/>
            <w:r>
              <w:rPr>
                <w:b/>
                <w:color w:val="FFFFFF"/>
                <w:sz w:val="18"/>
              </w:rPr>
              <w:t>Examples</w:t>
            </w:r>
          </w:p>
        </w:tc>
        <w:tc>
          <w:tcPr>
            <w:tcW w:type="dxa" w:w="3389"/>
            <w:shd w:fill="102A43"/>
            <w:vAlign w:val="center"/>
          </w:tcPr>
          <w:p>
            <w:r/>
            <w:r>
              <w:rPr>
                <w:b/>
                <w:color w:val="FFFFFF"/>
                <w:sz w:val="18"/>
              </w:rPr>
              <w:t>Reuse rule</w:t>
            </w:r>
          </w:p>
        </w:tc>
      </w:tr>
      <w:tr>
        <w:tc>
          <w:tcPr>
            <w:tcW w:type="dxa" w:w="3389"/>
            <w:vAlign w:val="center"/>
          </w:tcPr>
          <w:p>
            <w:r/>
            <w:r>
              <w:rPr>
                <w:b w:val="0"/>
                <w:sz w:val="18"/>
              </w:rPr>
              <w:t>GLOBAL_SHARED</w:t>
            </w:r>
          </w:p>
        </w:tc>
        <w:tc>
          <w:tcPr>
            <w:tcW w:type="dxa" w:w="3389"/>
            <w:vAlign w:val="center"/>
          </w:tcPr>
          <w:p>
            <w:r/>
            <w:r>
              <w:rPr>
                <w:b w:val="0"/>
                <w:sz w:val="18"/>
              </w:rPr>
              <w:t>Public market data, SEC filings/XBRL, eligible canonical public snapshots.</w:t>
            </w:r>
          </w:p>
        </w:tc>
        <w:tc>
          <w:tcPr>
            <w:tcW w:type="dxa" w:w="3389"/>
            <w:vAlign w:val="center"/>
          </w:tcPr>
          <w:p>
            <w:r/>
            <w:r>
              <w:rPr>
                <w:b w:val="0"/>
                <w:sz w:val="18"/>
              </w:rPr>
              <w:t>May be reused only when ticker/as_of/freshness/provider/version/config/license criteria match.</w:t>
            </w:r>
          </w:p>
        </w:tc>
      </w:tr>
      <w:tr>
        <w:tc>
          <w:tcPr>
            <w:tcW w:type="dxa" w:w="3389"/>
            <w:vAlign w:val="center"/>
          </w:tcPr>
          <w:p>
            <w:r/>
            <w:r>
              <w:rPr>
                <w:b w:val="0"/>
                <w:sz w:val="18"/>
              </w:rPr>
              <w:t>WORKSPACE_PRIVATE</w:t>
            </w:r>
          </w:p>
        </w:tc>
        <w:tc>
          <w:tcPr>
            <w:tcW w:type="dxa" w:w="3389"/>
            <w:vAlign w:val="center"/>
          </w:tcPr>
          <w:p>
            <w:r/>
            <w:r>
              <w:rPr>
                <w:b w:val="0"/>
                <w:sz w:val="18"/>
              </w:rPr>
              <w:t>Analysis runs, workspace reports, watchlists, workspace decisions.</w:t>
            </w:r>
          </w:p>
        </w:tc>
        <w:tc>
          <w:tcPr>
            <w:tcW w:type="dxa" w:w="3389"/>
            <w:vAlign w:val="center"/>
          </w:tcPr>
          <w:p>
            <w:r/>
            <w:r>
              <w:rPr>
                <w:b w:val="0"/>
                <w:sz w:val="18"/>
              </w:rPr>
              <w:t>Workspace only.</w:t>
            </w:r>
          </w:p>
        </w:tc>
      </w:tr>
      <w:tr>
        <w:tc>
          <w:tcPr>
            <w:tcW w:type="dxa" w:w="3389"/>
            <w:vAlign w:val="center"/>
          </w:tcPr>
          <w:p>
            <w:r/>
            <w:r>
              <w:rPr>
                <w:b w:val="0"/>
                <w:sz w:val="18"/>
              </w:rPr>
              <w:t>USER_PRIVATE</w:t>
            </w:r>
          </w:p>
        </w:tc>
        <w:tc>
          <w:tcPr>
            <w:tcW w:type="dxa" w:w="3389"/>
            <w:vAlign w:val="center"/>
          </w:tcPr>
          <w:p>
            <w:r/>
            <w:r>
              <w:rPr>
                <w:b w:val="0"/>
                <w:sz w:val="18"/>
              </w:rPr>
              <w:t>Personal notes/notifications where applicable.</w:t>
            </w:r>
          </w:p>
        </w:tc>
        <w:tc>
          <w:tcPr>
            <w:tcW w:type="dxa" w:w="3389"/>
            <w:vAlign w:val="center"/>
          </w:tcPr>
          <w:p>
            <w:r/>
            <w:r>
              <w:rPr>
                <w:b w:val="0"/>
                <w:sz w:val="18"/>
              </w:rPr>
              <w:t>User only.</w:t>
            </w:r>
          </w:p>
        </w:tc>
      </w:tr>
      <w:tr>
        <w:tc>
          <w:tcPr>
            <w:tcW w:type="dxa" w:w="3389"/>
            <w:vAlign w:val="center"/>
          </w:tcPr>
          <w:p>
            <w:r/>
            <w:r>
              <w:rPr>
                <w:b w:val="0"/>
                <w:sz w:val="18"/>
              </w:rPr>
              <w:t>LICENSE_RESTRICTED</w:t>
            </w:r>
          </w:p>
        </w:tc>
        <w:tc>
          <w:tcPr>
            <w:tcW w:type="dxa" w:w="3389"/>
            <w:vAlign w:val="center"/>
          </w:tcPr>
          <w:p>
            <w:r/>
            <w:r>
              <w:rPr>
                <w:b w:val="0"/>
                <w:sz w:val="18"/>
              </w:rPr>
              <w:t>IBD/private/licensed research and derived restricted artifacts.</w:t>
            </w:r>
          </w:p>
        </w:tc>
        <w:tc>
          <w:tcPr>
            <w:tcW w:type="dxa" w:w="3389"/>
            <w:vAlign w:val="center"/>
          </w:tcPr>
          <w:p>
            <w:r/>
            <w:r>
              <w:rPr>
                <w:b w:val="0"/>
                <w:sz w:val="18"/>
              </w:rPr>
              <w:t>Never cross license/workspace boundaries.</w:t>
            </w:r>
          </w:p>
        </w:tc>
      </w:tr>
      <w:tr>
        <w:tc>
          <w:tcPr>
            <w:tcW w:type="dxa" w:w="3389"/>
            <w:vAlign w:val="center"/>
          </w:tcPr>
          <w:p>
            <w:r/>
            <w:r>
              <w:rPr>
                <w:b w:val="0"/>
                <w:sz w:val="18"/>
              </w:rPr>
              <w:t>SYSTEM_INTERNAL</w:t>
            </w:r>
          </w:p>
        </w:tc>
        <w:tc>
          <w:tcPr>
            <w:tcW w:type="dxa" w:w="3389"/>
            <w:vAlign w:val="center"/>
          </w:tcPr>
          <w:p>
            <w:r/>
            <w:r>
              <w:rPr>
                <w:b w:val="0"/>
                <w:sz w:val="18"/>
              </w:rPr>
              <w:t>Operational/audit metadata.</w:t>
            </w:r>
          </w:p>
        </w:tc>
        <w:tc>
          <w:tcPr>
            <w:tcW w:type="dxa" w:w="3389"/>
            <w:vAlign w:val="center"/>
          </w:tcPr>
          <w:p>
            <w:r/>
            <w:r>
              <w:rPr>
                <w:b w:val="0"/>
                <w:sz w:val="18"/>
              </w:rPr>
              <w:t>Service/internal access only.</w:t>
            </w:r>
          </w:p>
        </w:tc>
      </w:tr>
    </w:tbl>
    <w:p>
      <w:r>
        <w:t>AI Guardians owns login/account creation. The browser is not trusted to choose arbitrary identity headers. The portal server validates the session and workspace membership, then sends trusted context to Trading Copilot, which still enforces its own authorization.</w:t>
      </w:r>
    </w:p>
    <w:p>
      <w:pPr>
        <w:pStyle w:val="Heading1"/>
      </w:pPr>
      <w:r>
        <w:t>11. Model/provider layer</w:t>
      </w:r>
    </w:p>
    <w:p>
      <w:r>
        <w:t>The model layer is deliberately replaceable. BaseLLMProvider and ModelRouter abstractions support different providers and local inference without changing deterministic business logic. Frontier models are used where they add interpretive value; smaller finance models/classifiers can handle narrow tasks.</w:t>
      </w:r>
    </w:p>
    <w:tbl>
      <w:tblPr>
        <w:tblStyle w:val="TableGrid"/>
        <w:tblW w:type="auto" w:w="0"/>
        <w:jc w:val="center"/>
        <w:tblLook w:firstColumn="1" w:firstRow="1" w:lastColumn="0" w:lastRow="0" w:noHBand="0" w:noVBand="1" w:val="04A0"/>
      </w:tblPr>
      <w:tblGrid>
        <w:gridCol w:w="5083"/>
        <w:gridCol w:w="5083"/>
      </w:tblGrid>
      <w:tr>
        <w:tc>
          <w:tcPr>
            <w:tcW w:type="dxa" w:w="5083"/>
            <w:shd w:fill="102A43"/>
            <w:vAlign w:val="center"/>
          </w:tcPr>
          <w:p>
            <w:r/>
            <w:r>
              <w:rPr>
                <w:b/>
                <w:color w:val="FFFFFF"/>
                <w:sz w:val="18"/>
              </w:rPr>
              <w:t>Use case</w:t>
            </w:r>
          </w:p>
        </w:tc>
        <w:tc>
          <w:tcPr>
            <w:tcW w:type="dxa" w:w="5083"/>
            <w:shd w:fill="102A43"/>
            <w:vAlign w:val="center"/>
          </w:tcPr>
          <w:p>
            <w:r/>
            <w:r>
              <w:rPr>
                <w:b/>
                <w:color w:val="FFFFFF"/>
                <w:sz w:val="18"/>
              </w:rPr>
              <w:t>Typical routing</w:t>
            </w:r>
          </w:p>
        </w:tc>
      </w:tr>
      <w:tr>
        <w:tc>
          <w:tcPr>
            <w:tcW w:type="dxa" w:w="5083"/>
            <w:vAlign w:val="center"/>
          </w:tcPr>
          <w:p>
            <w:r/>
            <w:r>
              <w:rPr>
                <w:b w:val="0"/>
                <w:sz w:val="18"/>
              </w:rPr>
              <w:t>Chart/levels interpretation</w:t>
            </w:r>
          </w:p>
        </w:tc>
        <w:tc>
          <w:tcPr>
            <w:tcW w:type="dxa" w:w="5083"/>
            <w:vAlign w:val="center"/>
          </w:tcPr>
          <w:p>
            <w:r/>
            <w:r>
              <w:rPr>
                <w:b w:val="0"/>
                <w:sz w:val="18"/>
              </w:rPr>
              <w:t>Fast general LLM with structured output; deterministic metrics supplied as facts.</w:t>
            </w:r>
          </w:p>
        </w:tc>
      </w:tr>
      <w:tr>
        <w:tc>
          <w:tcPr>
            <w:tcW w:type="dxa" w:w="5083"/>
            <w:vAlign w:val="center"/>
          </w:tcPr>
          <w:p>
            <w:r/>
            <w:r>
              <w:rPr>
                <w:b w:val="0"/>
                <w:sz w:val="18"/>
              </w:rPr>
              <w:t>Fundamentals/thesis deep review</w:t>
            </w:r>
          </w:p>
        </w:tc>
        <w:tc>
          <w:tcPr>
            <w:tcW w:type="dxa" w:w="5083"/>
            <w:vAlign w:val="center"/>
          </w:tcPr>
          <w:p>
            <w:r/>
            <w:r>
              <w:rPr>
                <w:b w:val="0"/>
                <w:sz w:val="18"/>
              </w:rPr>
              <w:t>Higher-reasoning model or finance-specialist comparison.</w:t>
            </w:r>
          </w:p>
        </w:tc>
      </w:tr>
      <w:tr>
        <w:tc>
          <w:tcPr>
            <w:tcW w:type="dxa" w:w="5083"/>
            <w:vAlign w:val="center"/>
          </w:tcPr>
          <w:p>
            <w:r/>
            <w:r>
              <w:rPr>
                <w:b w:val="0"/>
                <w:sz w:val="18"/>
              </w:rPr>
              <w:t>Financial sentiment</w:t>
            </w:r>
          </w:p>
        </w:tc>
        <w:tc>
          <w:tcPr>
            <w:tcW w:type="dxa" w:w="5083"/>
            <w:vAlign w:val="center"/>
          </w:tcPr>
          <w:p>
            <w:r/>
            <w:r>
              <w:rPr>
                <w:b w:val="0"/>
                <w:sz w:val="18"/>
              </w:rPr>
              <w:t>Narrow classifier such as FinBERT when appropriate.</w:t>
            </w:r>
          </w:p>
        </w:tc>
      </w:tr>
      <w:tr>
        <w:tc>
          <w:tcPr>
            <w:tcW w:type="dxa" w:w="5083"/>
            <w:vAlign w:val="center"/>
          </w:tcPr>
          <w:p>
            <w:r/>
            <w:r>
              <w:rPr>
                <w:b w:val="0"/>
                <w:sz w:val="18"/>
              </w:rPr>
              <w:t>SEC/numeric encoding/retrieval</w:t>
            </w:r>
          </w:p>
        </w:tc>
        <w:tc>
          <w:tcPr>
            <w:tcW w:type="dxa" w:w="5083"/>
            <w:vAlign w:val="center"/>
          </w:tcPr>
          <w:p>
            <w:r/>
            <w:r>
              <w:rPr>
                <w:b w:val="0"/>
                <w:sz w:val="18"/>
              </w:rPr>
              <w:t>Narrow financial encoder/classifier where appropriate.</w:t>
            </w:r>
          </w:p>
        </w:tc>
      </w:tr>
      <w:tr>
        <w:tc>
          <w:tcPr>
            <w:tcW w:type="dxa" w:w="5083"/>
            <w:vAlign w:val="center"/>
          </w:tcPr>
          <w:p>
            <w:r/>
            <w:r>
              <w:rPr>
                <w:b w:val="0"/>
                <w:sz w:val="18"/>
              </w:rPr>
              <w:t>Supervisor synthesis</w:t>
            </w:r>
          </w:p>
        </w:tc>
        <w:tc>
          <w:tcPr>
            <w:tcW w:type="dxa" w:w="5083"/>
            <w:vAlign w:val="center"/>
          </w:tcPr>
          <w:p>
            <w:r/>
            <w:r>
              <w:rPr>
                <w:b w:val="0"/>
                <w:sz w:val="18"/>
              </w:rPr>
              <w:t>General model constrained by validated specialist outputs.</w:t>
            </w:r>
          </w:p>
        </w:tc>
      </w:tr>
      <w:tr>
        <w:tc>
          <w:tcPr>
            <w:tcW w:type="dxa" w:w="5083"/>
            <w:vAlign w:val="center"/>
          </w:tcPr>
          <w:p>
            <w:r/>
            <w:r>
              <w:rPr>
                <w:b w:val="0"/>
                <w:sz w:val="18"/>
              </w:rPr>
              <w:t>RiskGate</w:t>
            </w:r>
          </w:p>
        </w:tc>
        <w:tc>
          <w:tcPr>
            <w:tcW w:type="dxa" w:w="5083"/>
            <w:vAlign w:val="center"/>
          </w:tcPr>
          <w:p>
            <w:r/>
            <w:r>
              <w:rPr>
                <w:b w:val="0"/>
                <w:sz w:val="18"/>
              </w:rPr>
              <w:t>Never an LLM.</w:t>
            </w:r>
          </w:p>
        </w:tc>
      </w:tr>
    </w:tbl>
    <w:p>
      <w:pPr>
        <w:pStyle w:val="Heading1"/>
      </w:pPr>
      <w:r>
        <w:t>12. Data/provider architecture</w:t>
      </w:r>
    </w:p>
    <w:p>
      <w:r>
        <w:t>Live provider adapters normalize external data into internal contracts. SEC EDGAR is the authoritative filing/XBRL source. Market-data providers are abstracted; fallbacks/comparisons are explicit and observable. Tests use fixtures and block unintended network access.</w:t>
      </w:r>
    </w:p>
    <w:p>
      <w:pPr>
        <w:pStyle w:val="ListBullet"/>
      </w:pPr>
      <w:r>
        <w:t>Per-domain rate limiting, retry/backoff, Retry-After handling and cache controls are part of the transport layer.</w:t>
      </w:r>
    </w:p>
    <w:p>
      <w:pPr>
        <w:pStyle w:val="ListBullet"/>
      </w:pPr>
      <w:r>
        <w:t>Secrets are scrubbed from URLs/logs.</w:t>
      </w:r>
    </w:p>
    <w:p>
      <w:pPr>
        <w:pStyle w:val="ListBullet"/>
      </w:pPr>
      <w:r>
        <w:t>Market bars are validated for chronology and OHLC invariants.</w:t>
      </w:r>
    </w:p>
    <w:p>
      <w:pPr>
        <w:pStyle w:val="ListBullet"/>
      </w:pPr>
      <w:r>
        <w:t>A provider fallback does not silently change semantic facts; downstream integrity checks still apply.</w:t>
      </w:r>
    </w:p>
    <w:p>
      <w:pPr>
        <w:pStyle w:val="Heading1"/>
      </w:pPr>
      <w:r>
        <w:t>13. Prediction Ledger, evaluation and calibration</w:t>
      </w:r>
    </w:p>
    <w:p>
      <w:r>
        <w:t>The Prediction Ledger stores the original point-in-time prediction immutably. Outcomes are observed later and stored separately. Evaluation includes forward returns, MFE, MAE, benchmark comparisons, horizon-specific results and source attribution. Calibration proposals are versioned and gated; the system does not self-modify its thresholds from outcomes.</w:t>
      </w:r>
    </w:p>
    <w:p>
      <w:pPr>
        <w:pStyle w:val="Heading1"/>
      </w:pPr>
      <w:r>
        <w:t>14. Cloud deployment</w:t>
      </w:r>
    </w:p>
    <w:tbl>
      <w:tblPr>
        <w:tblStyle w:val="TableGrid"/>
        <w:tblW w:type="auto" w:w="0"/>
        <w:jc w:val="center"/>
        <w:tblLook w:firstColumn="1" w:firstRow="1" w:lastColumn="0" w:lastRow="0" w:noHBand="0" w:noVBand="1" w:val="04A0"/>
      </w:tblPr>
      <w:tblGrid>
        <w:gridCol w:w="5083"/>
        <w:gridCol w:w="5083"/>
      </w:tblGrid>
      <w:tr>
        <w:tc>
          <w:tcPr>
            <w:tcW w:type="dxa" w:w="5083"/>
            <w:shd w:fill="102A43"/>
            <w:vAlign w:val="center"/>
          </w:tcPr>
          <w:p>
            <w:r/>
            <w:r>
              <w:rPr>
                <w:b/>
                <w:color w:val="FFFFFF"/>
                <w:sz w:val="18"/>
              </w:rPr>
              <w:t>Component</w:t>
            </w:r>
          </w:p>
        </w:tc>
        <w:tc>
          <w:tcPr>
            <w:tcW w:type="dxa" w:w="5083"/>
            <w:shd w:fill="102A43"/>
            <w:vAlign w:val="center"/>
          </w:tcPr>
          <w:p>
            <w:r/>
            <w:r>
              <w:rPr>
                <w:b/>
                <w:color w:val="FFFFFF"/>
                <w:sz w:val="18"/>
              </w:rPr>
              <w:t>As-built state</w:t>
            </w:r>
          </w:p>
        </w:tc>
      </w:tr>
      <w:tr>
        <w:tc>
          <w:tcPr>
            <w:tcW w:type="dxa" w:w="5083"/>
            <w:vAlign w:val="center"/>
          </w:tcPr>
          <w:p>
            <w:r/>
            <w:r>
              <w:rPr>
                <w:b w:val="0"/>
                <w:sz w:val="18"/>
              </w:rPr>
              <w:t>Cloud Run</w:t>
            </w:r>
          </w:p>
        </w:tc>
        <w:tc>
          <w:tcPr>
            <w:tcW w:type="dxa" w:w="5083"/>
            <w:vAlign w:val="center"/>
          </w:tcPr>
          <w:p>
            <w:r/>
            <w:r>
              <w:rPr>
                <w:b w:val="0"/>
                <w:sz w:val="18"/>
              </w:rPr>
              <w:t>Private/authenticated service `trading-copilot-api`; scale-to-zero; max instances 2.</w:t>
            </w:r>
          </w:p>
        </w:tc>
      </w:tr>
      <w:tr>
        <w:tc>
          <w:tcPr>
            <w:tcW w:type="dxa" w:w="5083"/>
            <w:vAlign w:val="center"/>
          </w:tcPr>
          <w:p>
            <w:r/>
            <w:r>
              <w:rPr>
                <w:b w:val="0"/>
                <w:sz w:val="18"/>
              </w:rPr>
              <w:t>Cloud SQL</w:t>
            </w:r>
          </w:p>
        </w:tc>
        <w:tc>
          <w:tcPr>
            <w:tcW w:type="dxa" w:w="5083"/>
            <w:vAlign w:val="center"/>
          </w:tcPr>
          <w:p>
            <w:r/>
            <w:r>
              <w:rPr>
                <w:b w:val="0"/>
                <w:sz w:val="18"/>
              </w:rPr>
              <w:t>PostgreSQL 15, private IP only, dedicated VPC, backups + point-in-time recovery, 21 domain tables + Alembic version.</w:t>
            </w:r>
          </w:p>
        </w:tc>
      </w:tr>
      <w:tr>
        <w:tc>
          <w:tcPr>
            <w:tcW w:type="dxa" w:w="5083"/>
            <w:vAlign w:val="center"/>
          </w:tcPr>
          <w:p>
            <w:r/>
            <w:r>
              <w:rPr>
                <w:b w:val="0"/>
                <w:sz w:val="18"/>
              </w:rPr>
              <w:t>Artifact Registry</w:t>
            </w:r>
          </w:p>
        </w:tc>
        <w:tc>
          <w:tcPr>
            <w:tcW w:type="dxa" w:w="5083"/>
            <w:vAlign w:val="center"/>
          </w:tcPr>
          <w:p>
            <w:r/>
            <w:r>
              <w:rPr>
                <w:b w:val="0"/>
                <w:sz w:val="18"/>
              </w:rPr>
              <w:t>Container image repository with commit/digest traceability.</w:t>
            </w:r>
          </w:p>
        </w:tc>
      </w:tr>
      <w:tr>
        <w:tc>
          <w:tcPr>
            <w:tcW w:type="dxa" w:w="5083"/>
            <w:vAlign w:val="center"/>
          </w:tcPr>
          <w:p>
            <w:r/>
            <w:r>
              <w:rPr>
                <w:b w:val="0"/>
                <w:sz w:val="18"/>
              </w:rPr>
              <w:t>Secret Manager</w:t>
            </w:r>
          </w:p>
        </w:tc>
        <w:tc>
          <w:tcPr>
            <w:tcW w:type="dxa" w:w="5083"/>
            <w:vAlign w:val="center"/>
          </w:tcPr>
          <w:p>
            <w:r/>
            <w:r>
              <w:rPr>
                <w:b w:val="0"/>
                <w:sz w:val="18"/>
              </w:rPr>
              <w:t>Database/provider credentials accessed server-side; no secrets committed to git.</w:t>
            </w:r>
          </w:p>
        </w:tc>
      </w:tr>
      <w:tr>
        <w:tc>
          <w:tcPr>
            <w:tcW w:type="dxa" w:w="5083"/>
            <w:vAlign w:val="center"/>
          </w:tcPr>
          <w:p>
            <w:r/>
            <w:r>
              <w:rPr>
                <w:b w:val="0"/>
                <w:sz w:val="18"/>
              </w:rPr>
              <w:t>IAM</w:t>
            </w:r>
          </w:p>
        </w:tc>
        <w:tc>
          <w:tcPr>
            <w:tcW w:type="dxa" w:w="5083"/>
            <w:vAlign w:val="center"/>
          </w:tcPr>
          <w:p>
            <w:r/>
            <w:r>
              <w:rPr>
                <w:b w:val="0"/>
                <w:sz w:val="18"/>
              </w:rPr>
              <w:t>Dedicated runtime, migration and portal-invoker identities; least-privilege roles; no service-account JSON keys.</w:t>
            </w:r>
          </w:p>
        </w:tc>
      </w:tr>
      <w:tr>
        <w:tc>
          <w:tcPr>
            <w:tcW w:type="dxa" w:w="5083"/>
            <w:vAlign w:val="center"/>
          </w:tcPr>
          <w:p>
            <w:r/>
            <w:r>
              <w:rPr>
                <w:b w:val="0"/>
                <w:sz w:val="18"/>
              </w:rPr>
              <w:t>VPC</w:t>
            </w:r>
          </w:p>
        </w:tc>
        <w:tc>
          <w:tcPr>
            <w:tcW w:type="dxa" w:w="5083"/>
            <w:vAlign w:val="center"/>
          </w:tcPr>
          <w:p>
            <w:r/>
            <w:r>
              <w:rPr>
                <w:b w:val="0"/>
                <w:sz w:val="18"/>
              </w:rPr>
              <w:t>Private database connectivity; public Cloud SQL IPv4 disabled.</w:t>
            </w:r>
          </w:p>
        </w:tc>
      </w:tr>
      <w:tr>
        <w:tc>
          <w:tcPr>
            <w:tcW w:type="dxa" w:w="5083"/>
            <w:vAlign w:val="center"/>
          </w:tcPr>
          <w:p>
            <w:r/>
            <w:r>
              <w:rPr>
                <w:b w:val="0"/>
                <w:sz w:val="18"/>
              </w:rPr>
              <w:t>AI Guardians portal</w:t>
            </w:r>
          </w:p>
        </w:tc>
        <w:tc>
          <w:tcPr>
            <w:tcW w:type="dxa" w:w="5083"/>
            <w:vAlign w:val="center"/>
          </w:tcPr>
          <w:p>
            <w:r/>
            <w:r>
              <w:rPr>
                <w:b w:val="0"/>
                <w:sz w:val="18"/>
              </w:rPr>
              <w:t>Native UI module using a server-side TradingCopilotClient to call private Cloud Run.</w:t>
            </w:r>
          </w:p>
        </w:tc>
      </w:tr>
    </w:tbl>
    <w:p>
      <w:pPr>
        <w:pStyle w:val="Heading1"/>
      </w:pPr>
      <w:r>
        <w:t>15. Portal integration and HITL</w:t>
      </w:r>
    </w:p>
    <w:p>
      <w:r>
        <w:t>The AI Guardians portal is the product UI. It does not embed the internal Streamlit analyst dashboard. Server-side calls preserve authenticated user/workspace context, request IDs and error contracts. HITL actions are persisted against immutable run IDs. ACCEPT_ANALYSIS is deterministically rejected when RiskGate = BLOCK.</w:t>
      </w:r>
    </w:p>
    <w:p>
      <w:pPr>
        <w:pStyle w:val="Heading1"/>
      </w:pPr>
      <w:r>
        <w:t>16. Failure handling and resilience</w:t>
      </w:r>
    </w:p>
    <w:p>
      <w:pPr>
        <w:pStyle w:val="ListBullet"/>
      </w:pPr>
      <w:r>
        <w:t>Typed error responses for validation, authorization and RiskGate rejection.</w:t>
      </w:r>
    </w:p>
    <w:p>
      <w:pPr>
        <w:pStyle w:val="ListBullet"/>
      </w:pPr>
      <w:r>
        <w:t>Bounded retries; retries cannot upgrade unsupported facts into certainty.</w:t>
      </w:r>
    </w:p>
    <w:p>
      <w:pPr>
        <w:pStyle w:val="ListBullet"/>
      </w:pPr>
      <w:r>
        <w:t>One ticker failure in a batch does not terminate unrelated ticker runs.</w:t>
      </w:r>
    </w:p>
    <w:p>
      <w:pPr>
        <w:pStyle w:val="ListBullet"/>
      </w:pPr>
      <w:r>
        <w:t>Provider outages degrade/abstain rather than silently fabricate.</w:t>
      </w:r>
    </w:p>
    <w:p>
      <w:pPr>
        <w:pStyle w:val="ListBullet"/>
      </w:pPr>
      <w:r>
        <w:t>Production startup fails if durable PostgreSQL is not configured.</w:t>
      </w:r>
    </w:p>
    <w:p>
      <w:pPr>
        <w:pStyle w:val="ListBullet"/>
      </w:pPr>
      <w:r>
        <w:t>Cross-ticker and cross-workspace contamination have dedicated regression tests.</w:t>
      </w:r>
    </w:p>
    <w:p>
      <w:pPr>
        <w:pStyle w:val="Heading1"/>
      </w:pPr>
      <w:r>
        <w:t>17. Testing and verification strategy</w:t>
      </w:r>
    </w:p>
    <w:p>
      <w:r>
        <w:t>The project evolved through phase gates and increasingly adversarial validation. The final cloud deployment gate reported 722 tests passed, 11 skipped, 0 failed. Tests cover schemas, deterministic analytics, specialists, supervisor, RiskGate, evidence integrity, provider normalization, persistence, tenant isolation, Cloud SQL migration readiness, UI/view models and regression scenarios.</w:t>
      </w:r>
    </w:p>
    <w:p>
      <w:pPr>
        <w:pStyle w:val="ListBullet"/>
      </w:pPr>
      <w:r>
        <w:t>Zero-network unit tests where network access would create nondeterminism.</w:t>
      </w:r>
    </w:p>
    <w:p>
      <w:pPr>
        <w:pStyle w:val="ListBullet"/>
      </w:pPr>
      <w:r>
        <w:t>Fixture providers and point-in-time test data.</w:t>
      </w:r>
    </w:p>
    <w:p>
      <w:pPr>
        <w:pStyle w:val="ListBullet"/>
      </w:pPr>
      <w:r>
        <w:t>Adversarial scenarios for evidence, price, provider and RiskGate failures.</w:t>
      </w:r>
    </w:p>
    <w:p>
      <w:pPr>
        <w:pStyle w:val="ListBullet"/>
      </w:pPr>
      <w:r>
        <w:t>Real PostgreSQL tenancy/immutability validation before Cloud Run deployment.</w:t>
      </w:r>
    </w:p>
    <w:p>
      <w:pPr>
        <w:pStyle w:val="ListBullet"/>
      </w:pPr>
      <w:r>
        <w:t>Contract tests for 404, 422 and RiskGate rejection shapes.</w:t>
      </w:r>
    </w:p>
    <w:p>
      <w:pPr>
        <w:pStyle w:val="ListBullet"/>
      </w:pPr>
      <w:r>
        <w:t>Production smoke-test rows removed after verification.</w:t>
      </w:r>
    </w:p>
    <w:p>
      <w:pPr>
        <w:pStyle w:val="Heading1"/>
      </w:pPr>
      <w:r>
        <w:t>18. Engineering patterns worth reusing</w:t>
      </w:r>
    </w:p>
    <w:tbl>
      <w:tblPr>
        <w:tblStyle w:val="TableGrid"/>
        <w:tblW w:type="auto" w:w="0"/>
        <w:jc w:val="center"/>
        <w:tblLook w:firstColumn="1" w:firstRow="1" w:lastColumn="0" w:lastRow="0" w:noHBand="0" w:noVBand="1" w:val="04A0"/>
      </w:tblPr>
      <w:tblGrid>
        <w:gridCol w:w="5083"/>
        <w:gridCol w:w="5083"/>
      </w:tblGrid>
      <w:tr>
        <w:tc>
          <w:tcPr>
            <w:tcW w:type="dxa" w:w="5083"/>
            <w:shd w:fill="102A43"/>
            <w:vAlign w:val="center"/>
          </w:tcPr>
          <w:p>
            <w:r/>
            <w:r>
              <w:rPr>
                <w:b/>
                <w:color w:val="FFFFFF"/>
                <w:sz w:val="18"/>
              </w:rPr>
              <w:t>Pattern</w:t>
            </w:r>
          </w:p>
        </w:tc>
        <w:tc>
          <w:tcPr>
            <w:tcW w:type="dxa" w:w="5083"/>
            <w:shd w:fill="102A43"/>
            <w:vAlign w:val="center"/>
          </w:tcPr>
          <w:p>
            <w:r/>
            <w:r>
              <w:rPr>
                <w:b/>
                <w:color w:val="FFFFFF"/>
                <w:sz w:val="18"/>
              </w:rPr>
              <w:t>Why it matters</w:t>
            </w:r>
          </w:p>
        </w:tc>
      </w:tr>
      <w:tr>
        <w:tc>
          <w:tcPr>
            <w:tcW w:type="dxa" w:w="5083"/>
            <w:vAlign w:val="center"/>
          </w:tcPr>
          <w:p>
            <w:r/>
            <w:r>
              <w:rPr>
                <w:b w:val="0"/>
                <w:sz w:val="18"/>
              </w:rPr>
              <w:t>Schema-first agent contracts</w:t>
            </w:r>
          </w:p>
        </w:tc>
        <w:tc>
          <w:tcPr>
            <w:tcW w:type="dxa" w:w="5083"/>
            <w:vAlign w:val="center"/>
          </w:tcPr>
          <w:p>
            <w:r/>
            <w:r>
              <w:rPr>
                <w:b w:val="0"/>
                <w:sz w:val="18"/>
              </w:rPr>
              <w:t>Reduces prompt ambiguity and enables validation at every boundary.</w:t>
            </w:r>
          </w:p>
        </w:tc>
      </w:tr>
      <w:tr>
        <w:tc>
          <w:tcPr>
            <w:tcW w:type="dxa" w:w="5083"/>
            <w:vAlign w:val="center"/>
          </w:tcPr>
          <w:p>
            <w:r/>
            <w:r>
              <w:rPr>
                <w:b w:val="0"/>
                <w:sz w:val="18"/>
              </w:rPr>
              <w:t>Deterministic core + probabilistic interpretation</w:t>
            </w:r>
          </w:p>
        </w:tc>
        <w:tc>
          <w:tcPr>
            <w:tcW w:type="dxa" w:w="5083"/>
            <w:vAlign w:val="center"/>
          </w:tcPr>
          <w:p>
            <w:r/>
            <w:r>
              <w:rPr>
                <w:b w:val="0"/>
                <w:sz w:val="18"/>
              </w:rPr>
              <w:t>Keeps finance math reproducible while still using LLMs for synthesis.</w:t>
            </w:r>
          </w:p>
        </w:tc>
      </w:tr>
      <w:tr>
        <w:tc>
          <w:tcPr>
            <w:tcW w:type="dxa" w:w="5083"/>
            <w:vAlign w:val="center"/>
          </w:tcPr>
          <w:p>
            <w:r/>
            <w:r>
              <w:rPr>
                <w:b w:val="0"/>
                <w:sz w:val="18"/>
              </w:rPr>
              <w:t>Evidence-as-data</w:t>
            </w:r>
          </w:p>
        </w:tc>
        <w:tc>
          <w:tcPr>
            <w:tcW w:type="dxa" w:w="5083"/>
            <w:vAlign w:val="center"/>
          </w:tcPr>
          <w:p>
            <w:r/>
            <w:r>
              <w:rPr>
                <w:b w:val="0"/>
                <w:sz w:val="18"/>
              </w:rPr>
              <w:t>Makes citations machine-verifiable rather than decorative.</w:t>
            </w:r>
          </w:p>
        </w:tc>
      </w:tr>
      <w:tr>
        <w:tc>
          <w:tcPr>
            <w:tcW w:type="dxa" w:w="5083"/>
            <w:vAlign w:val="center"/>
          </w:tcPr>
          <w:p>
            <w:r/>
            <w:r>
              <w:rPr>
                <w:b w:val="0"/>
                <w:sz w:val="18"/>
              </w:rPr>
              <w:t>Fail-closed RiskGate</w:t>
            </w:r>
          </w:p>
        </w:tc>
        <w:tc>
          <w:tcPr>
            <w:tcW w:type="dxa" w:w="5083"/>
            <w:vAlign w:val="center"/>
          </w:tcPr>
          <w:p>
            <w:r/>
            <w:r>
              <w:rPr>
                <w:b w:val="0"/>
                <w:sz w:val="18"/>
              </w:rPr>
              <w:t>Prevents attractive output from bypassing integrity problems.</w:t>
            </w:r>
          </w:p>
        </w:tc>
      </w:tr>
      <w:tr>
        <w:tc>
          <w:tcPr>
            <w:tcW w:type="dxa" w:w="5083"/>
            <w:vAlign w:val="center"/>
          </w:tcPr>
          <w:p>
            <w:r/>
            <w:r>
              <w:rPr>
                <w:b w:val="0"/>
                <w:sz w:val="18"/>
              </w:rPr>
              <w:t>Immutable prediction + separate outcome</w:t>
            </w:r>
          </w:p>
        </w:tc>
        <w:tc>
          <w:tcPr>
            <w:tcW w:type="dxa" w:w="5083"/>
            <w:vAlign w:val="center"/>
          </w:tcPr>
          <w:p>
            <w:r/>
            <w:r>
              <w:rPr>
                <w:b w:val="0"/>
                <w:sz w:val="18"/>
              </w:rPr>
              <w:t>Prevents hindsight from rewriting the original forecast.</w:t>
            </w:r>
          </w:p>
        </w:tc>
      </w:tr>
      <w:tr>
        <w:tc>
          <w:tcPr>
            <w:tcW w:type="dxa" w:w="5083"/>
            <w:vAlign w:val="center"/>
          </w:tcPr>
          <w:p>
            <w:r/>
            <w:r>
              <w:rPr>
                <w:b w:val="0"/>
                <w:sz w:val="18"/>
              </w:rPr>
              <w:t>Provider abstraction + model routing</w:t>
            </w:r>
          </w:p>
        </w:tc>
        <w:tc>
          <w:tcPr>
            <w:tcW w:type="dxa" w:w="5083"/>
            <w:vAlign w:val="center"/>
          </w:tcPr>
          <w:p>
            <w:r/>
            <w:r>
              <w:rPr>
                <w:b w:val="0"/>
                <w:sz w:val="18"/>
              </w:rPr>
              <w:t>Controls cost, portability and outage risk.</w:t>
            </w:r>
          </w:p>
        </w:tc>
      </w:tr>
      <w:tr>
        <w:tc>
          <w:tcPr>
            <w:tcW w:type="dxa" w:w="5083"/>
            <w:vAlign w:val="center"/>
          </w:tcPr>
          <w:p>
            <w:r/>
            <w:r>
              <w:rPr>
                <w:b w:val="0"/>
                <w:sz w:val="18"/>
              </w:rPr>
              <w:t>Tenant classification + SafeReusePolicy</w:t>
            </w:r>
          </w:p>
        </w:tc>
        <w:tc>
          <w:tcPr>
            <w:tcW w:type="dxa" w:w="5083"/>
            <w:vAlign w:val="center"/>
          </w:tcPr>
          <w:p>
            <w:r/>
            <w:r>
              <w:rPr>
                <w:b w:val="0"/>
                <w:sz w:val="18"/>
              </w:rPr>
              <w:t>Enables shared public intelligence without private-data leakage.</w:t>
            </w:r>
          </w:p>
        </w:tc>
      </w:tr>
      <w:tr>
        <w:tc>
          <w:tcPr>
            <w:tcW w:type="dxa" w:w="5083"/>
            <w:vAlign w:val="center"/>
          </w:tcPr>
          <w:p>
            <w:r/>
            <w:r>
              <w:rPr>
                <w:b w:val="0"/>
                <w:sz w:val="18"/>
              </w:rPr>
              <w:t>Phase-gated deployment</w:t>
            </w:r>
          </w:p>
        </w:tc>
        <w:tc>
          <w:tcPr>
            <w:tcW w:type="dxa" w:w="5083"/>
            <w:vAlign w:val="center"/>
          </w:tcPr>
          <w:p>
            <w:r/>
            <w:r>
              <w:rPr>
                <w:b w:val="0"/>
                <w:sz w:val="18"/>
              </w:rPr>
              <w:t>Separates schema, migration, cloud runtime and portal integration, reducing blast radius.</w:t>
            </w:r>
          </w:p>
        </w:tc>
      </w:tr>
      <w:tr>
        <w:tc>
          <w:tcPr>
            <w:tcW w:type="dxa" w:w="5083"/>
            <w:vAlign w:val="center"/>
          </w:tcPr>
          <w:p>
            <w:r/>
            <w:r>
              <w:rPr>
                <w:b w:val="0"/>
                <w:sz w:val="18"/>
              </w:rPr>
              <w:t>Request/run correlation</w:t>
            </w:r>
          </w:p>
        </w:tc>
        <w:tc>
          <w:tcPr>
            <w:tcW w:type="dxa" w:w="5083"/>
            <w:vAlign w:val="center"/>
          </w:tcPr>
          <w:p>
            <w:r/>
            <w:r>
              <w:rPr>
                <w:b w:val="0"/>
                <w:sz w:val="18"/>
              </w:rPr>
              <w:t>Makes debugging and audit practical across UI, API, database and evidence.</w:t>
            </w:r>
          </w:p>
        </w:tc>
      </w:tr>
    </w:tbl>
    <w:p>
      <w:pPr>
        <w:pStyle w:val="Heading1"/>
      </w:pPr>
      <w:r>
        <w:t>19. Operational runbook — when a result looks wrong</w:t>
      </w:r>
    </w:p>
    <w:p>
      <w:pPr>
        <w:pStyle w:val="ListNumber"/>
      </w:pPr>
      <w:r>
        <w:t>Capture ticker, as_of, run_id, request_id and RiskGate reasons.</w:t>
      </w:r>
    </w:p>
    <w:p>
      <w:pPr>
        <w:pStyle w:val="ListNumber"/>
      </w:pPr>
      <w:r>
        <w:t>Check market-data source timestamp and normalized latest bar.</w:t>
      </w:r>
    </w:p>
    <w:p>
      <w:pPr>
        <w:pStyle w:val="ListNumber"/>
      </w:pPr>
      <w:r>
        <w:t>Verify deterministic feature current price matches the chosen bar.</w:t>
      </w:r>
    </w:p>
    <w:p>
      <w:pPr>
        <w:pStyle w:val="ListNumber"/>
      </w:pPr>
      <w:r>
        <w:t>Trace evidence IDs to EvidenceLedger and validate citations exist.</w:t>
      </w:r>
    </w:p>
    <w:p>
      <w:pPr>
        <w:pStyle w:val="ListNumber"/>
      </w:pPr>
      <w:r>
        <w:t>Inspect provider/model/config versions and fallback history.</w:t>
      </w:r>
    </w:p>
    <w:p>
      <w:pPr>
        <w:pStyle w:val="ListNumber"/>
      </w:pPr>
      <w:r>
        <w:t>Check workspace/ticker scoping to rule out state contamination.</w:t>
      </w:r>
    </w:p>
    <w:p>
      <w:pPr>
        <w:pStyle w:val="ListNumber"/>
      </w:pPr>
      <w:r>
        <w:t>Confirm RiskGate/validator result before reviewing the LLM interpretation.</w:t>
      </w:r>
    </w:p>
    <w:p>
      <w:pPr>
        <w:pStyle w:val="ListNumber"/>
      </w:pPr>
      <w:r>
        <w:t>Use PredictionOutcome only for post-run evaluation; never mutate the original run.</w:t>
      </w:r>
    </w:p>
    <w:p>
      <w:pPr>
        <w:pStyle w:val="Heading1"/>
      </w:pPr>
      <w:r>
        <w:t>20. Current boundaries and future extensions</w:t>
      </w:r>
    </w:p>
    <w:p>
      <w:pPr>
        <w:pStyle w:val="ListBullet"/>
      </w:pPr>
      <w:r>
        <w:t>No live broker/execution agent is enabled. Any future execution layer should remain a separate permission boundary with explicit human approval.</w:t>
      </w:r>
    </w:p>
    <w:p>
      <w:pPr>
        <w:pStyle w:val="ListBullet"/>
      </w:pPr>
      <w:r>
        <w:t>Internal Streamlit remains an analyst/test tool; AI Guardians is the production user interface.</w:t>
      </w:r>
    </w:p>
    <w:p>
      <w:pPr>
        <w:pStyle w:val="ListBullet"/>
      </w:pPr>
      <w:r>
        <w:t>Additional provider/model adapters can be added behind existing abstractions without changing deterministic gates.</w:t>
      </w:r>
    </w:p>
    <w:p>
      <w:pPr>
        <w:pStyle w:val="ListBullet"/>
      </w:pPr>
      <w:r>
        <w:t>Notification channels and research ingestion can expand, but incoming content must remain evidence-classified and unable to directly create executable trades.</w:t>
      </w:r>
    </w:p>
    <w:p>
      <w:pPr>
        <w:pStyle w:val="Heading1"/>
      </w:pPr>
      <w:r>
        <w:t>Appendix A — As-built request lifecycle</w:t>
      </w:r>
    </w:p>
    <w:p>
      <w:pPr>
        <w:pStyle w:val="ListNumber"/>
      </w:pPr>
      <w:r>
        <w:t>Authenticated user initiates analysis in AI Guardians.</w:t>
      </w:r>
    </w:p>
    <w:p>
      <w:pPr>
        <w:pStyle w:val="ListNumber"/>
      </w:pPr>
      <w:r>
        <w:t>Portal server validates user/workspace and calls private Cloud Run using a dedicated invoker identity.</w:t>
      </w:r>
    </w:p>
    <w:p>
      <w:pPr>
        <w:pStyle w:val="ListNumber"/>
      </w:pPr>
      <w:r>
        <w:t>FastAPI validates request contracts and establishes request_id/run_id/as_of.</w:t>
      </w:r>
    </w:p>
    <w:p>
      <w:pPr>
        <w:pStyle w:val="ListNumber"/>
      </w:pPr>
      <w:r>
        <w:t>Provider adapters retrieve eligible point-in-time facts.</w:t>
      </w:r>
    </w:p>
    <w:p>
      <w:pPr>
        <w:pStyle w:val="ListNumber"/>
      </w:pPr>
      <w:r>
        <w:t>Deterministic Python validates/normalizes data and calculates features.</w:t>
      </w:r>
    </w:p>
    <w:p>
      <w:pPr>
        <w:pStyle w:val="ListNumber"/>
      </w:pPr>
      <w:r>
        <w:t>Specialist agents produce typed evidence-linked assessments.</w:t>
      </w:r>
    </w:p>
    <w:p>
      <w:pPr>
        <w:pStyle w:val="ListNumber"/>
      </w:pPr>
      <w:r>
        <w:t>Validators check numeric/evidence/retry/temporal integrity.</w:t>
      </w:r>
    </w:p>
    <w:p>
      <w:pPr>
        <w:pStyle w:val="ListNumber"/>
      </w:pPr>
      <w:r>
        <w:t>Supervisor coordinates specialist state and deterministic synthesis.</w:t>
      </w:r>
    </w:p>
    <w:p>
      <w:pPr>
        <w:pStyle w:val="ListNumber"/>
      </w:pPr>
      <w:r>
        <w:t>RiskGate emits PASS/WARN/BLOCK and can suppress the recommendation.</w:t>
      </w:r>
    </w:p>
    <w:p>
      <w:pPr>
        <w:pStyle w:val="ListNumber"/>
      </w:pPr>
      <w:r>
        <w:t>Run/report/evidence/prediction state is persisted in Cloud SQL.</w:t>
      </w:r>
    </w:p>
    <w:p>
      <w:pPr>
        <w:pStyle w:val="ListNumber"/>
      </w:pPr>
      <w:r>
        <w:t>Portal renders the result and records optional HITL decisions.</w:t>
      </w:r>
    </w:p>
    <w:p>
      <w:pPr>
        <w:pStyle w:val="ListNumber"/>
      </w:pPr>
      <w:r>
        <w:t>PredictionOutcome is observed later and stored separately for evaluation.</w:t>
      </w:r>
    </w:p>
    <w:p>
      <w:pPr>
        <w:pStyle w:val="Heading1"/>
      </w:pPr>
      <w:r>
        <w:t>Appendix B — Security checklist</w:t>
      </w:r>
    </w:p>
    <w:p>
      <w:pPr>
        <w:pStyle w:val="ListBullet"/>
      </w:pPr>
      <w:r>
        <w:t>Cloud Run requires authentication.</w:t>
      </w:r>
    </w:p>
    <w:p>
      <w:pPr>
        <w:pStyle w:val="ListBullet"/>
      </w:pPr>
      <w:r>
        <w:t>Cloud SQL public IPv4 is disabled.</w:t>
      </w:r>
    </w:p>
    <w:p>
      <w:pPr>
        <w:pStyle w:val="ListBullet"/>
      </w:pPr>
      <w:r>
        <w:t>Database connectivity remains private.</w:t>
      </w:r>
    </w:p>
    <w:p>
      <w:pPr>
        <w:pStyle w:val="ListBullet"/>
      </w:pPr>
      <w:r>
        <w:t>Secrets live in Secret Manager and are not committed.</w:t>
      </w:r>
    </w:p>
    <w:p>
      <w:pPr>
        <w:pStyle w:val="ListBullet"/>
      </w:pPr>
      <w:r>
        <w:t>Dedicated service identities are used for runtime, migration and portal invocation.</w:t>
      </w:r>
    </w:p>
    <w:p>
      <w:pPr>
        <w:pStyle w:val="ListBullet"/>
      </w:pPr>
      <w:r>
        <w:t>No service-account JSON keys are required.</w:t>
      </w:r>
    </w:p>
    <w:p>
      <w:pPr>
        <w:pStyle w:val="ListBullet"/>
      </w:pPr>
      <w:r>
        <w:t>Browser never receives provider secrets, DB credentials or Cloud Run identity tokens.</w:t>
      </w:r>
    </w:p>
    <w:p>
      <w:pPr>
        <w:pStyle w:val="ListBullet"/>
      </w:pPr>
      <w:r>
        <w:t>Licensed/private data is isolated from globally reusable intelligence.</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02A4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D4ED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F766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02A4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