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20" w:line="240" w:lineRule="auto"/>
      </w:pPr>
      <w:r>
        <w:rPr>
          <w:rFonts w:ascii="Times New Roman" w:hAnsi="Times New Roman"/>
          <w:b/>
          <w:color w:val="17365D"/>
          <w:sz w:val="36"/>
        </w:rPr>
        <w:t xml:space="preserve">Ebenezer J. Rolston</w:t>
      </w:r>
    </w:p>
    <w:p>
      <w:pPr>
        <w:jc w:val="center"/>
        <w:spacing w:before="0" w:after="30" w:line="240" w:lineRule="auto"/>
      </w:pPr>
      <w:r>
        <w:rPr>
          <w:rFonts w:ascii="Times New Roman" w:hAnsi="Times New Roman"/>
          <w:b/>
          <w:color w:val="17365D"/>
          <w:sz w:val="19"/>
        </w:rPr>
        <w:t xml:space="preserve">AI Enablement • AI Coding Agents &amp; MCP • Enterprise Technical Advocacy</w:t>
      </w:r>
    </w:p>
    <w:p>
      <w:pPr>
        <w:jc w:val="center"/>
        <w:spacing w:before="0" w:after="80" w:line="240" w:lineRule="auto"/>
      </w:pPr>
      <w:r>
        <w:rPr>
          <w:color w:val="1F1F1F"/>
          <w:sz w:val="18"/>
        </w:rPr>
        <w:t xml:space="preserve">Denver, CO • </w:t>
      </w:r>
      <w:r>
        <w:rPr>
          <w:color w:val="1F1F1F"/>
          <w:sz w:val="18"/>
        </w:rPr>
        <w:t xml:space="preserve">eberolston@yahoo.com</w:t>
      </w:r>
      <w:r>
        <w:rPr>
          <w:color w:val="1F1F1F"/>
          <w:sz w:val="18"/>
        </w:rPr>
        <w:t xml:space="preserve"> • 501-307-3237 • </w:t>
      </w:r>
      <w:hyperlink r:id="rIdHyperlink1">
        <w:r>
          <w:rPr>
            <w:b/>
            <w:color w:val="17365D"/>
            <w:sz w:val="18"/>
            <w:u w:val="single"/>
          </w:rPr>
          <w:t xml:space="preserve">LinkedIn</w:t>
        </w:r>
      </w:hyperlink>
      <w:r>
        <w:rPr>
          <w:color w:val="1F1F1F"/>
          <w:sz w:val="18"/>
        </w:rPr>
        <w:t xml:space="preserve"> • </w:t>
      </w:r>
      <w:hyperlink r:id="rIdHyperlink2">
        <w:r>
          <w:rPr>
            <w:b/>
            <w:color w:val="17365D"/>
            <w:sz w:val="18"/>
            <w:u w:val="single"/>
          </w:rPr>
          <w:t xml:space="preserve">GitHub</w:t>
        </w:r>
      </w:hyperlink>
      <w:r>
        <w:rPr>
          <w:color w:val="1F1F1F"/>
          <w:sz w:val="18"/>
        </w:rPr>
        <w:t xml:space="preserve"> • </w:t>
      </w:r>
      <w:hyperlink r:id="rIdHyperlink3">
        <w:r>
          <w:rPr>
            <w:b/>
            <w:color w:val="17365D"/>
            <w:sz w:val="18"/>
            <w:u w:val="single"/>
          </w:rPr>
          <w:t xml:space="preserve">AI Guardians</w:t>
        </w:r>
      </w:hyperlink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PROFESSIONAL SUMMARY</w:t>
      </w:r>
    </w:p>
    <w:p>
      <w:pPr>
        <w:spacing w:before="40" w:after="40" w:line="240" w:lineRule="auto"/>
      </w:pPr>
      <w:r>
        <w:rPr>
          <w:color w:val="1F1F1F"/>
          <w:sz w:val="18"/>
        </w:rPr>
        <w:t xml:space="preserve">Technical Communicator and Solutions Architect with 20+ years of enterprise experience turning complex data systems into unified platforms across regulated financial services, insurance, and federal sectors. Brings 11 years at Acxiom Corporation deploying real-time verification and predictive scoring models for major insurance and financial clients, alongside Department-wide federal data modernization. Proven record establishing SDLC standards, training 85+ cohort users, and leading mission-critical technical escalations.</w:t>
      </w:r>
    </w:p>
    <w:p>
      <w:pPr>
        <w:spacing w:before="0" w:after="30" w:line="240" w:lineRule="auto"/>
      </w:pPr>
      <w:r>
        <w:rPr>
          <w:color w:val="1F1F1F"/>
          <w:sz w:val="18"/>
        </w:rPr>
        <w:t xml:space="preserve">Pairs this enterprise foundation with hands-on AI enablement and agentic engineering—fluent in AI coding assistants (OpenAI Codex, Claude Code, Google Antigravity), Model Context Protocol (MCP) tooling, and structured prompting frameworks. Holds a University of Denver graduate certificate in AI Strategy and a Harvard SEAS executive certificate in LLMs and Agentic AI, specializing in empowering business teams and software engineers to adopt AI safely, predictably, and measurably.</w:t>
      </w:r>
    </w:p>
    <w:p>
      <w:pPr>
        <w:spacing w:before="0" w:after="60" w:line="240" w:lineRule="auto"/>
      </w:pPr>
      <w:r>
        <w:rPr>
          <w:b/>
          <w:i/>
          <w:color w:val="8B0000"/>
          <w:sz w:val="18"/>
        </w:rPr>
        <w:t xml:space="preserve">Winner of two Department of Interior Awards</w:t>
      </w:r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CORE COMPETENCIES</w:t>
      </w:r>
    </w:p>
    <w:p>
      <w:pPr>
        <w:spacing w:before="30" w:after="60" w:line="240" w:lineRule="auto"/>
      </w:pPr>
      <w:r>
        <w:rPr>
          <w:color w:val="1F1F1F"/>
          <w:sz w:val="17"/>
        </w:rPr>
        <w:t xml:space="preserve">▪ AI Enablement &amp; Developer Advocacy ▪ AI Coding Agent Fluency ▪ Model Context Protocol Integration ▪ Prompt Engineering &amp; Specification Frameworks ▪ Technical Office Hours &amp; User Training ▪ Enterprise Toolchain Integration ▪ Multi-Agent Architecture ▪ Bounded Execution &amp; Guardrails ▪ AI Adoption Metrics &amp; Measurement ▪ Python &amp; REST API Integration ▪ NIST AI RMF &amp; ISO 42001 ▪ Document Intelligence &amp; OCR Extraction ▪ Cross-Functional Stakeholder Alignment ▪ Change Management</w:t>
      </w:r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PROFESSIONAL EXPERIENCE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AI Engineering &amp; Enablement | AI Guardians LLC </w:t>
      </w:r>
      <w:r>
        <w:rPr>
          <w:i/>
          <w:color w:val="17365D"/>
          <w:sz w:val="18"/>
        </w:rPr>
        <w:t xml:space="preserve">Denver, CO | Jan 2026–Present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Engineered autonomous multi-agent workflows and custom TOML/markdown agents using OpenAI Codex and Google Antigravity with runtime hooks, Plan Mode trade-off analysis, and automated build–test–fix loops.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Integrated enterprise toolchains (Figma, GitHub, Atlassian, Google Workspace) via Model Context Protocol (MCP) servers and plugins; standardized agent context via AGENTS.md and reusable skill lifecycles.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Formulated enterprise prompting methodologies (Outcome, Constraints, Scope, Definition of Done) and evidence-based verification gates replacing agent self-assessment with deterministic testing.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Designed AI transformation toolkits, AI maturity assessments, use-case prioritization canvases, and governance guardrails based on NIST AI RMF 1.0 and ISO 42001.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Program Analyst, Acquisition Directorate | U.S. Department of the Interior, </w:t>
      </w:r>
      <w:r>
        <w:rPr>
          <w:i/>
          <w:color w:val="17365D"/>
          <w:sz w:val="18"/>
        </w:rPr>
        <w:t xml:space="preserve">Denver, CO | Jan–Sep 2025</w:t>
      </w:r>
    </w:p>
    <w:p>
      <w:pPr>
        <w:spacing w:before="0" w:after="20" w:line="240" w:lineRule="auto"/>
      </w:pPr>
      <w:r>
        <w:rPr>
          <w:i/>
          <w:color w:val="4A4A4A"/>
          <w:sz w:val="17"/>
        </w:rPr>
        <w:t xml:space="preserve">Cross-functional Analyst lead for Acquisition Directorate enterprise systems and business technology; GS-13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Senior Analyst for Acquisition Directorate enterprise financial system, managing business workflow, assuring data integrity, and ensuring business &amp; functional reliability in federal environment.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Delivered targeted user training and operational guidance that improved platform adoption and cut down recurring support tickets.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Resolved client &amp; platform vendor defects and contractual billing disputes.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Triaged enterprise system defects.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Senior Analyst Consultant | ARK Solutions — Client : IBC Acquisition Directorate </w:t>
      </w:r>
      <w:r>
        <w:rPr>
          <w:i/>
          <w:color w:val="17365D"/>
          <w:sz w:val="18"/>
        </w:rPr>
        <w:t xml:space="preserve">Denver, CO | 2011–2025</w:t>
      </w:r>
    </w:p>
    <w:p>
      <w:pPr>
        <w:spacing w:before="0" w:after="20" w:line="240" w:lineRule="auto"/>
      </w:pPr>
      <w:r>
        <w:rPr>
          <w:i/>
          <w:color w:val="4A4A4A"/>
          <w:sz w:val="17"/>
        </w:rPr>
        <w:t xml:space="preserve">14-year enterprise business support, data migration, vendor support &amp; client training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Delivered agency-wide cohort enablement and client system training for 85+ users, driving adoption and reducing support demand across technical and business functions.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Department ETL Architect for the FBMS enterprise data conversion for 4 agencies, migrating, cleansing, and validating bureau databases into SAP S/4.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Served as Senior escalation lead handling enterprise incidents and Aviation payment negotiations.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Implemented framework to resolve financial discrepancies through realignment process.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PRISM system administration, role-based access, procurement compliance, schema updates.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Member of DOI Special Interest Group - FPDS reporting, Exemption &amp; security compliance.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Performed DataAct Audit Analytics.</w:t>
      </w:r>
    </w:p>
    <w:p>
      <w:pPr>
        <w:spacing w:before="40" w:after="10" w:line="240" w:lineRule="auto"/>
      </w:pPr>
      <w:r>
        <w:rPr>
          <w:b/>
          <w:color w:val="17365D"/>
          <w:sz w:val="18"/>
        </w:rPr>
        <w:t xml:space="preserve">Solutions Developer / Architect | Acxiom Corporation </w:t>
      </w:r>
      <w:r>
        <w:rPr>
          <w:i/>
          <w:color w:val="17365D"/>
          <w:sz w:val="18"/>
        </w:rPr>
        <w:t xml:space="preserve">Little Rock, AR | 1999–2009</w:t>
      </w:r>
    </w:p>
    <w:p>
      <w:pPr>
        <w:spacing w:before="0" w:after="20" w:line="240" w:lineRule="auto"/>
      </w:pPr>
      <w:r>
        <w:rPr>
          <w:i/>
          <w:color w:val="4A4A4A"/>
          <w:sz w:val="17"/>
        </w:rPr>
        <w:t xml:space="preserve">Identity resolution, predictive scoring algorithms, and relational data warehousing; foundation of LiveRamp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Partnered with enterprise financial services and insurance clients (Citibank, Allstate, GE Money) to gather requirements, build consensus, and deploy mission-critical customer verification pipelines.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Built Citibank's online identity scoring model, real-time scoring algorithms for fraud prevention.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Standardized company-wide SDLC/SCM methodology as a process-improvement specialist on the Acxiom Methodology Board, leading cross-functional teams across PMO, project management, and SMEs.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Provided business and technical support for Application Verification System, SLA compliance.</w:t>
      </w:r>
    </w:p>
    <w:p>
      <w:pPr>
        <w:spacing w:before="0" w:after="20" w:line="240" w:lineRule="auto"/>
        <w:ind w:left="360" w:hanging="180"/>
      </w:pPr>
      <w:r>
        <w:rPr>
          <w:color w:val="1F1F1F"/>
          <w:sz w:val="18"/>
        </w:rPr>
        <w:t xml:space="preserve">• Built and supported customer recognition, precision marketing and cross-selling solutions.</w:t>
      </w:r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AI Engineering Portfolio</w:t>
      </w:r>
    </w:p>
    <w:p>
      <w:pPr>
        <w:spacing w:before="30" w:after="10" w:line="240" w:lineRule="auto"/>
      </w:pPr>
      <w:r>
        <w:rPr>
          <w:b/>
          <w:color w:val="17365D"/>
          <w:sz w:val="18"/>
        </w:rPr>
        <w:t xml:space="preserve">Multimodal Document Intelligence — Auditable Data Extraction Pipeline </w:t>
      </w:r>
      <w:r>
        <w:rPr>
          <w:i/>
          <w:color w:val="4A4A4A"/>
          <w:sz w:val="17"/>
        </w:rPr>
        <w:t xml:space="preserve">Stanford | 2026</w:t>
      </w:r>
    </w:p>
    <w:p>
      <w:pPr>
        <w:spacing w:before="0" w:after="15" w:line="240" w:lineRule="auto"/>
        <w:ind w:left="360" w:hanging="180"/>
      </w:pPr>
      <w:r>
        <w:rPr>
          <w:color w:val="1F1F1F"/>
          <w:sz w:val="18"/>
        </w:rPr>
        <w:t xml:space="preserve">• Built an auditable document intelligence pipeline using LangGraph StateGraph &amp; OCR parsing for unstructured business documents, matching modular architectures like Symetra's docstream.</w:t>
      </w:r>
    </w:p>
    <w:p>
      <w:pPr>
        <w:spacing w:before="0" w:after="30" w:line="240" w:lineRule="auto"/>
        <w:ind w:left="360" w:hanging="180"/>
      </w:pPr>
      <w:r>
        <w:rPr>
          <w:color w:val="1F1F1F"/>
          <w:sz w:val="18"/>
        </w:rPr>
        <w:t xml:space="preserve">• Enforced Pydantic contract validation, confidence scoring, prompt-injection anomaly gating, and semantic retrieval.</w:t>
      </w:r>
    </w:p>
    <w:p>
      <w:pPr>
        <w:spacing w:before="30" w:after="10" w:line="240" w:lineRule="auto"/>
      </w:pPr>
      <w:r>
        <w:rPr>
          <w:b/>
          <w:color w:val="17365D"/>
          <w:sz w:val="18"/>
        </w:rPr>
        <w:t xml:space="preserve">Codex &amp; Antigravity Agentic Systems — Enterprise Enablement &amp; MCP Platform </w:t>
      </w:r>
      <w:r>
        <w:rPr>
          <w:i/>
          <w:color w:val="4A4A4A"/>
          <w:sz w:val="17"/>
        </w:rPr>
        <w:t xml:space="preserve">AI Guardians | 2026</w:t>
      </w:r>
    </w:p>
    <w:p>
      <w:pPr>
        <w:spacing w:before="0" w:after="15" w:line="240" w:lineRule="auto"/>
        <w:ind w:left="360" w:hanging="180"/>
      </w:pPr>
      <w:r>
        <w:rPr>
          <w:color w:val="1F1F1F"/>
          <w:sz w:val="18"/>
        </w:rPr>
        <w:t xml:space="preserve">• Built specialized multi-agent workflows (architect, validator, auditor, reviewer, tester) with runtime hooks, tool contracts, and subagent orchestration.</w:t>
      </w:r>
    </w:p>
    <w:p>
      <w:pPr>
        <w:spacing w:before="0" w:after="30" w:line="240" w:lineRule="auto"/>
        <w:ind w:left="360" w:hanging="180"/>
      </w:pPr>
      <w:r>
        <w:rPr>
          <w:color w:val="1F1F1F"/>
          <w:sz w:val="18"/>
        </w:rPr>
        <w:t xml:space="preserve">• Connected Figma, GitHub, Atlassian, and Google Workspace through Model Context Protocol (MCP) and custom plugins; enforced bounded execution and human-in-the-loop approvals.</w:t>
      </w:r>
    </w:p>
    <w:p>
      <w:pPr>
        <w:spacing w:before="30" w:after="10" w:line="240" w:lineRule="auto"/>
      </w:pPr>
      <w:r>
        <w:rPr>
          <w:b/>
          <w:color w:val="17365D"/>
          <w:sz w:val="18"/>
        </w:rPr>
        <w:t xml:space="preserve">Trading Copilot — Governed Multi-Agent Research Platform </w:t>
      </w:r>
      <w:r>
        <w:rPr>
          <w:i/>
          <w:color w:val="4A4A4A"/>
          <w:sz w:val="17"/>
        </w:rPr>
        <w:t xml:space="preserve">AI in Finance Nicole Koenigstein 2026</w:t>
      </w:r>
    </w:p>
    <w:p>
      <w:pPr>
        <w:spacing w:before="0" w:after="30" w:line="240" w:lineRule="auto"/>
        <w:ind w:left="360" w:hanging="180"/>
      </w:pPr>
      <w:r>
        <w:rPr>
          <w:color w:val="1F1F1F"/>
          <w:sz w:val="18"/>
        </w:rPr>
        <w:t xml:space="preserve">• Architected multi-agent equities research pipelines with supervisory layer, automated risk verification and deterministic execution bounds.</w:t>
      </w:r>
    </w:p>
    <w:p>
      <w:pPr>
        <w:spacing w:before="30" w:after="10" w:line="240" w:lineRule="auto"/>
      </w:pPr>
      <w:r>
        <w:rPr>
          <w:b/>
          <w:color w:val="17365D"/>
          <w:sz w:val="18"/>
        </w:rPr>
        <w:t xml:space="preserve">AI Incident Monitor — AI Risk Intelligence Platform </w:t>
      </w:r>
      <w:r>
        <w:rPr>
          <w:i/>
          <w:color w:val="4A4A4A"/>
          <w:sz w:val="17"/>
        </w:rPr>
        <w:t xml:space="preserve">AI Guardians LLC | 2026</w:t>
      </w:r>
    </w:p>
    <w:p>
      <w:pPr>
        <w:spacing w:before="0" w:after="30" w:line="240" w:lineRule="auto"/>
        <w:ind w:left="360" w:hanging="180"/>
      </w:pPr>
      <w:r>
        <w:rPr>
          <w:color w:val="1F1F1F"/>
          <w:sz w:val="18"/>
        </w:rPr>
        <w:t xml:space="preserve">• Architected Explainable AI incident severity scoring and compliance taxonomy mapping based on NIST AI RMF 1.0.</w:t>
      </w:r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EDUCATION &amp; PROFESSIONAL DEVELOPMENT</w:t>
      </w:r>
    </w:p>
    <w:p>
      <w:pPr>
        <w:spacing w:before="0" w:after="15" w:line="240" w:lineRule="auto"/>
      </w:pPr>
      <w:r>
        <w:rPr>
          <w:b/>
          <w:color w:val="17365D"/>
          <w:sz w:val="18"/>
        </w:rPr>
        <w:t xml:space="preserve">OpenAI Codex Bootcamps: </w:t>
      </w:r>
      <w:r>
        <w:rPr>
          <w:color w:val="1F1F1F"/>
          <w:sz w:val="18"/>
        </w:rPr>
        <w:t xml:space="preserve">Completed 7 Bootcamps across Fundamentals, 201, and 301 (Agent Orchestration, MCP Integration, Context Engineering)</w:t>
      </w:r>
    </w:p>
    <w:p>
      <w:pPr>
        <w:spacing w:before="0" w:after="15" w:line="240" w:lineRule="auto"/>
      </w:pPr>
      <w:r>
        <w:rPr>
          <w:b/>
          <w:color w:val="17365D"/>
          <w:sz w:val="18"/>
        </w:rPr>
        <w:t xml:space="preserve">UC Berkeley Extension: </w:t>
      </w:r>
      <w:r>
        <w:rPr>
          <w:color w:val="1F1F1F"/>
          <w:sz w:val="18"/>
        </w:rPr>
        <w:t xml:space="preserve">Machine Learning and Deep Learning.</w:t>
      </w:r>
    </w:p>
    <w:p>
      <w:pPr>
        <w:spacing w:before="0" w:after="15" w:line="240" w:lineRule="auto"/>
      </w:pPr>
      <w:r>
        <w:rPr>
          <w:b/>
          <w:color w:val="17365D"/>
          <w:sz w:val="18"/>
        </w:rPr>
        <w:t xml:space="preserve">University of Denver : </w:t>
      </w:r>
      <w:r>
        <w:rPr>
          <w:color w:val="1F1F1F"/>
          <w:sz w:val="18"/>
        </w:rPr>
        <w:t xml:space="preserve">Graduate Certificate, AI Strategy &amp; Applications in IT</w:t>
      </w:r>
    </w:p>
    <w:p>
      <w:pPr>
        <w:spacing w:before="0" w:after="15" w:line="240" w:lineRule="auto"/>
      </w:pPr>
      <w:r>
        <w:rPr>
          <w:b/>
          <w:color w:val="17365D"/>
          <w:sz w:val="18"/>
        </w:rPr>
        <w:t xml:space="preserve">Stanford Continuing Studies: </w:t>
      </w:r>
      <w:r>
        <w:rPr>
          <w:color w:val="1F1F1F"/>
          <w:sz w:val="18"/>
        </w:rPr>
        <w:t xml:space="preserve">Data Analysis with Python • Modern AI Architectures • AI Accountability</w:t>
      </w:r>
    </w:p>
    <w:p>
      <w:pPr>
        <w:spacing w:before="0" w:after="15" w:line="240" w:lineRule="auto"/>
      </w:pPr>
      <w:r>
        <w:rPr>
          <w:b/>
          <w:color w:val="17365D"/>
          <w:sz w:val="18"/>
        </w:rPr>
        <w:t xml:space="preserve">Harvard John A. Paulson SEAS: </w:t>
      </w:r>
      <w:r>
        <w:rPr>
          <w:color w:val="1F1F1F"/>
          <w:sz w:val="18"/>
        </w:rPr>
        <w:t xml:space="preserve">Executive Certificate — LLMs: Transformer to Agentic AI</w:t>
      </w:r>
    </w:p>
    <w:p>
      <w:pPr>
        <w:spacing w:before="0" w:after="15" w:line="240" w:lineRule="auto"/>
      </w:pPr>
      <w:r>
        <w:rPr>
          <w:b/>
          <w:color w:val="17365D"/>
          <w:sz w:val="18"/>
        </w:rPr>
        <w:t xml:space="preserve">M.S. &amp; B.S., Computer Science: </w:t>
      </w:r>
      <w:r>
        <w:rPr>
          <w:color w:val="1F1F1F"/>
          <w:sz w:val="18"/>
        </w:rPr>
        <w:t xml:space="preserve">St. Joseph's College</w:t>
      </w:r>
    </w:p>
    <w:p>
      <w:pPr>
        <w:spacing w:before="0" w:after="15" w:line="240" w:lineRule="auto"/>
      </w:pPr>
      <w:r>
        <w:rPr>
          <w:b/>
          <w:color w:val="17365D"/>
          <w:sz w:val="18"/>
        </w:rPr>
        <w:t xml:space="preserve">Honors &amp; Awards: </w:t>
      </w:r>
      <w:r>
        <w:rPr>
          <w:color w:val="1F1F1F"/>
          <w:sz w:val="18"/>
        </w:rPr>
        <w:t xml:space="preserve">Interior Business Center Award for Excellence • DOI FBMS Special Recognition</w:t>
      </w:r>
    </w:p>
    <w:p>
      <w:pPr>
        <w:spacing w:before="0" w:after="15" w:line="240" w:lineRule="auto"/>
      </w:pPr>
      <w:r>
        <w:rPr>
          <w:b/>
          <w:color w:val="17365D"/>
          <w:sz w:val="18"/>
        </w:rPr>
        <w:t xml:space="preserve">AI Tech and Privacy Academy: </w:t>
      </w:r>
      <w:r>
        <w:rPr>
          <w:color w:val="1F1F1F"/>
          <w:sz w:val="18"/>
        </w:rPr>
        <w:t xml:space="preserve">AI Governance &amp; Privacy Frameworks</w:t>
      </w:r>
    </w:p>
    <w:p>
      <w:pPr>
        <w:spacing w:before="100" w:after="40" w:line="240" w:lineRule="auto"/>
        <w:pBdr>
          <w:bottom w:val="single" w:sz="6" w:space="4" w:color="17365D"/>
        </w:pBdr>
      </w:pPr>
      <w:r>
        <w:rPr>
          <w:rFonts w:ascii="Times New Roman" w:hAnsi="Times New Roman"/>
          <w:b/>
          <w:color w:val="17365D"/>
          <w:sz w:val="20"/>
        </w:rPr>
        <w:t xml:space="preserve">TECHNICAL PROFICIENCIES</w:t>
      </w:r>
    </w:p>
    <w:p>
      <w:pPr>
        <w:spacing w:before="0" w:after="20" w:line="240" w:lineRule="auto"/>
      </w:pPr>
      <w:r>
        <w:rPr>
          <w:b/>
          <w:color w:val="17365D"/>
          <w:sz w:val="18"/>
        </w:rPr>
        <w:t xml:space="preserve">AI Coding Agents &amp; LLMOps: </w:t>
      </w:r>
      <w:r>
        <w:rPr>
          <w:color w:val="1F1F1F"/>
          <w:sz w:val="18"/>
        </w:rPr>
        <w:t xml:space="preserve">OpenAI Codex (CLI, IDE, App) • Google Antigravity • Claude Code • Cursor • Large Language Models (LLMs) • Transformer Architectures • Retrieval-Augmented Generation (RAG) • Agentic AI Workflows • Multi-Agent Systems • Tool Calling • LoRA • Unsloth • Qdrant Vector Search</w:t>
      </w:r>
    </w:p>
    <w:p>
      <w:pPr>
        <w:spacing w:before="0" w:after="20" w:line="240" w:lineRule="auto"/>
      </w:pPr>
      <w:r>
        <w:rPr>
          <w:b/>
          <w:color w:val="17365D"/>
          <w:sz w:val="18"/>
        </w:rPr>
        <w:t xml:space="preserve">Model Context Protocol (MCP) &amp; Enterprise Tooling: </w:t>
      </w:r>
      <w:r>
        <w:rPr>
          <w:color w:val="1F1F1F"/>
          <w:sz w:val="18"/>
        </w:rPr>
        <w:t xml:space="preserve">Model Context Protocol (MCP) Server Architecture • Custom Tool Calling • Tool Schema Definition • Figma MCP • GitHub Plugin • Atlassian Plugin • Google Workspace Plugins (Docs, Sheets, Drive, Gmail) • AGENTS.md Context Engineering • Reusable Skill Repositories</w:t>
      </w:r>
    </w:p>
    <w:p>
      <w:pPr>
        <w:spacing w:before="0" w:after="20" w:line="240" w:lineRule="auto"/>
      </w:pPr>
      <w:r>
        <w:rPr>
          <w:b/>
          <w:color w:val="17365D"/>
          <w:sz w:val="18"/>
        </w:rPr>
        <w:t xml:space="preserve">Software Engineering &amp; Analytical Workflows: </w:t>
      </w:r>
      <w:r>
        <w:rPr>
          <w:color w:val="1F1F1F"/>
          <w:sz w:val="18"/>
        </w:rPr>
        <w:t xml:space="preserve">Python • pandas &amp; NumPy • FastAPI • Pydantic • SQLAlchemy • RESTful API Contracts • JSON Schema • pytest • GitHub • Cloud Deployment (Google Cloud Run, Vercel)</w:t>
      </w:r>
    </w:p>
    <w:p>
      <w:pPr>
        <w:spacing w:before="0" w:after="20" w:line="240" w:lineRule="auto"/>
      </w:pPr>
      <w:r>
        <w:rPr>
          <w:b/>
          <w:color w:val="17365D"/>
          <w:sz w:val="18"/>
        </w:rPr>
        <w:t xml:space="preserve">Enterprise Platforms, Privacy &amp; Governance: </w:t>
      </w:r>
      <w:r>
        <w:rPr>
          <w:color w:val="1F1F1F"/>
          <w:sz w:val="18"/>
        </w:rPr>
        <w:t xml:space="preserve">SAP S/4HANA Federal Business Management System • Unison PRISM • Remedy • NIST AI RMF 1.0 • ISO 42001 • Bounded Execution Guardrails</w:t>
      </w:r>
    </w:p>
    <w:p>
      <w:pPr>
        <w:spacing w:before="0" w:after="20" w:line="240" w:lineRule="auto"/>
      </w:pPr>
      <w:r>
        <w:rPr>
          <w:b/>
          <w:color w:val="17365D"/>
          <w:sz w:val="18"/>
        </w:rPr>
        <w:t xml:space="preserve">AI Enablement, Adoption &amp; Measurement: </w:t>
      </w:r>
      <w:r>
        <w:rPr>
          <w:color w:val="1F1F1F"/>
          <w:sz w:val="18"/>
        </w:rPr>
        <w:t xml:space="preserve">Developer Relations (DevRel) • Technical Office Hours • Prompt Engineering Frameworks • Cohort Training &amp; User Enablement • Adoption Tracking &amp; Metrics • Golden-Set Evaluations • Cross-Functional Technical Advocacy</w:t>
      </w:r>
    </w:p>
    <w:sectPr>
      <w:pgSz w:w="12240" w:h="15840"/>
      <w:pgMar w:top="720" w:right="893" w:bottom="720" w:left="893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0"/>
        <w:color w:val="1F1F1F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Hyperlink1" Type="http://schemas.openxmlformats.org/officeDocument/2006/relationships/hyperlink" Target="https://www.linkedin.com/in/ebenezer-rolston/" TargetMode="External"/>
  <Relationship Id="rIdHyperlink2" Type="http://schemas.openxmlformats.org/officeDocument/2006/relationships/hyperlink" Target="https://github.com/EbeDenver" TargetMode="External"/>
  <Relationship Id="rIdHyperlink3" Type="http://schemas.openxmlformats.org/officeDocument/2006/relationships/hyperlink" Target="https://portal.aiguardiansllc.us/" TargetMode="External"/>
</Relationships>
</file>