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120" w:after="20" w:line="240" w:lineRule="auto"/>
      </w:pPr>
      <w:r>
        <w:rPr>
          <w:rFonts w:ascii="Times New Roman" w:hAnsi="Times New Roman"/>
          <w:b/>
          <w:color w:val="17365D"/>
          <w:sz w:val="32"/>
        </w:rPr>
        <w:t xml:space="preserve">SYMETRA SKILL GAP &amp; FIT ANALYSIS</w:t>
      </w:r>
    </w:p>
    <w:p>
      <w:pPr>
        <w:jc w:val="center"/>
        <w:spacing w:before="0" w:after="40" w:line="240" w:lineRule="auto"/>
      </w:pPr>
      <w:r>
        <w:rPr>
          <w:rFonts w:ascii="Times New Roman" w:hAnsi="Times New Roman"/>
          <w:b/>
          <w:color w:val="5B9BD5"/>
          <w:sz w:val="18"/>
        </w:rPr>
        <w:t xml:space="preserve">DEVELOPER ADVOCATE, AI ENABLEMENT (REMOTE) | REQUISITION 446718944470 / 9427</w:t>
      </w:r>
    </w:p>
    <w:p>
      <w:pPr>
        <w:jc w:val="center"/>
        <w:spacing w:before="0" w:after="60" w:line="240" w:lineRule="auto"/>
        <w:pBdr>
          <w:bottom w:val="single" w:sz="6" w:space="4" w:color="17365D"/>
        </w:pBdr>
      </w:pPr>
      <w:r>
        <w:rPr>
          <w:color w:val="4F4F4F"/>
          <w:sz w:val="17"/>
        </w:rPr>
        <w:t xml:space="preserve">Candidate: Ebenezer J. Rolston • Overall Fit Score: 96/100 • Estimated Interview Probability: 90%</w:t>
      </w:r>
    </w:p>
    <w:p>
      <w:pPr>
        <w:spacing w:before="140" w:after="25" w:line="240" w:lineRule="auto"/>
        <w:pBdr>
          <w:bottom w:val="single" w:sz="6" w:space="4" w:color="17365D"/>
        </w:pBdr>
      </w:pPr>
      <w:r>
        <w:rPr>
          <w:rFonts w:ascii="Times New Roman" w:hAnsi="Times New Roman"/>
          <w:b/>
          <w:color w:val="17365D"/>
          <w:sz w:val="22"/>
        </w:rPr>
        <w:t xml:space="preserve">1. Executive Summary &amp; Role Strategic Context</w:t>
      </w:r>
    </w:p>
    <w:p>
      <w:pPr>
        <w:spacing w:before="0" w:after="20" w:line="240" w:lineRule="auto"/>
      </w:pPr>
      <w:r>
        <w:rPr>
          <w:color w:val="1F1F1F"/>
          <w:sz w:val="17"/>
        </w:rPr>
        <w:t xml:space="preserve">Symetra is seeking its first Developer Advocate within the fast-growing AI Enablement team inside the Data Analytics organization. The team operates as a high-velocity builders group tasked with dual mandates: (1) accelerating AI adoption across business teams and software engineers via shared platforms, tooling, and office hours, and (2) building and expanding production AI applications like docstream (Symetra's modular document-processing platform).</w:t>
      </w:r>
    </w:p>
    <w:p>
      <w:pPr>
        <w:spacing w:before="0" w:after="20" w:line="240" w:lineRule="auto"/>
      </w:pPr>
      <w:r>
        <w:rPr>
          <w:color w:val="1F1F1F"/>
          <w:sz w:val="17"/>
        </w:rPr>
        <w:t xml:space="preserve">Ebenezer J. Rolston represents a rare combination of mature enterprise credibility and cutting-edge agentic AI engineering. With 20+ years leading enterprise systems modernization, 11 years at Acxiom delivering mission-critical identity scoring for major insurance/financial institutions, and 14 years conducting cohort training for 85+ federal users, he bridges the exact communication divide Symetra faces. Furthermore, his recent hands-on engineering across OpenAI Codex bootcamps, Google Antigravity custom agents, Model Context Protocol (MCP) server integration, and Stanford document intelligence (OCR-to-RAG) aligns 1:1 with docstream and the day-to-day requirements of this role.</w:t>
      </w:r>
    </w:p>
    <w:p>
      <w:pPr>
        <w:spacing w:before="120" w:after="25" w:line="240" w:lineRule="auto"/>
        <w:pBdr>
          <w:bottom w:val="single" w:sz="6" w:space="4" w:color="17365D"/>
        </w:pBdr>
      </w:pPr>
      <w:r>
        <w:rPr>
          <w:rFonts w:ascii="Times New Roman" w:hAnsi="Times New Roman"/>
          <w:b/>
          <w:color w:val="17365D"/>
          <w:sz w:val="22"/>
        </w:rPr>
        <w:t xml:space="preserve">2. Quantitative Weighted Fit Matrix</w:t>
      </w:r>
    </w:p>
    <w:p>
      <w:pPr>
        <w:spacing w:before="20" w:after="10" w:line="240" w:lineRule="auto"/>
        <w:shd w:val="clear" w:color="auto" w:fill="EBF1F5"/>
      </w:pPr>
      <w:r>
        <w:rPr>
          <w:b/>
          <w:color w:val="17365D"/>
          <w:sz w:val="18"/>
        </w:rPr>
        <w:t xml:space="preserve">Must-Have Core Skills (40% Weight) — </w:t>
      </w:r>
      <w:r>
        <w:rPr>
          <w:b/>
          <w:color w:val="5B9BD5"/>
          <w:sz w:val="18"/>
        </w:rPr>
        <w:t xml:space="preserve">Score: 39 / 40 (97.5%)</w:t>
      </w:r>
    </w:p>
    <w:p>
      <w:pPr>
        <w:spacing w:before="0" w:after="15" w:line="240" w:lineRule="auto"/>
        <w:ind w:left="200"/>
      </w:pPr>
      <w:r>
        <w:rPr>
          <w:color w:val="1F1F1F"/>
          <w:sz w:val="17"/>
        </w:rPr>
        <w:t xml:space="preserve">Technical communication across business &amp; engineers (5+ yrs verified); hands-on fluency with AI coding agents (Claude Code, Codex, Antigravity); Python &amp; API demo construction; adoption tracking knack.</w:t>
      </w:r>
    </w:p>
    <w:p>
      <w:pPr>
        <w:spacing w:before="20" w:after="10" w:line="240" w:lineRule="auto"/>
        <w:shd w:val="clear" w:color="auto" w:fill="EBF1F5"/>
      </w:pPr>
      <w:r>
        <w:rPr>
          <w:b/>
          <w:color w:val="17365D"/>
          <w:sz w:val="18"/>
        </w:rPr>
        <w:t xml:space="preserve">Relevant Experience &amp; Seniority (25% Weight) — </w:t>
      </w:r>
      <w:r>
        <w:rPr>
          <w:b/>
          <w:color w:val="5B9BD5"/>
          <w:sz w:val="18"/>
        </w:rPr>
        <w:t xml:space="preserve">Score: 24 / 25 (96.0%)</w:t>
      </w:r>
    </w:p>
    <w:p>
      <w:pPr>
        <w:spacing w:before="0" w:after="15" w:line="240" w:lineRule="auto"/>
        <w:ind w:left="200"/>
      </w:pPr>
      <w:r>
        <w:rPr>
          <w:color w:val="1F1F1F"/>
          <w:sz w:val="17"/>
        </w:rPr>
        <w:t xml:space="preserve">20+ years in enterprise data platforms; 11 yrs Acxiom financial/insurance client solutions; 14 yrs DOI senior escalation &amp; cohort enablement; deep empathy for non-technical user learning curves.</w:t>
      </w:r>
    </w:p>
    <w:p>
      <w:pPr>
        <w:spacing w:before="20" w:after="10" w:line="240" w:lineRule="auto"/>
        <w:shd w:val="clear" w:color="auto" w:fill="EBF1F5"/>
      </w:pPr>
      <w:r>
        <w:rPr>
          <w:b/>
          <w:color w:val="17365D"/>
          <w:sz w:val="18"/>
        </w:rPr>
        <w:t xml:space="preserve">Tools, Stack &amp; Architecture (15% Weight) — </w:t>
      </w:r>
      <w:r>
        <w:rPr>
          <w:b/>
          <w:color w:val="5B9BD5"/>
          <w:sz w:val="18"/>
        </w:rPr>
        <w:t xml:space="preserve">Score: 15 / 15 (100.0%)</w:t>
      </w:r>
    </w:p>
    <w:p>
      <w:pPr>
        <w:spacing w:before="0" w:after="15" w:line="240" w:lineRule="auto"/>
        <w:ind w:left="200"/>
      </w:pPr>
      <w:r>
        <w:rPr>
          <w:color w:val="1F1F1F"/>
          <w:sz w:val="17"/>
        </w:rPr>
        <w:t xml:space="preserve">Model Context Protocol (MCP) server architecture; custom tool contracts; AGENTS.md context engineering; LangGraph StateGraph document intelligence pipeline (direct match for docstream); Python/FastAPI/Pydantic.</w:t>
      </w:r>
    </w:p>
    <w:p>
      <w:pPr>
        <w:spacing w:before="20" w:after="10" w:line="240" w:lineRule="auto"/>
        <w:shd w:val="clear" w:color="auto" w:fill="EBF1F5"/>
      </w:pPr>
      <w:r>
        <w:rPr>
          <w:b/>
          <w:color w:val="17365D"/>
          <w:sz w:val="18"/>
        </w:rPr>
        <w:t xml:space="preserve">Education &amp; Credentials (10% Weight) — </w:t>
      </w:r>
      <w:r>
        <w:rPr>
          <w:b/>
          <w:color w:val="5B9BD5"/>
          <w:sz w:val="18"/>
        </w:rPr>
        <w:t xml:space="preserve">Score: 10 / 10 (100.0%)</w:t>
      </w:r>
    </w:p>
    <w:p>
      <w:pPr>
        <w:spacing w:before="0" w:after="15" w:line="240" w:lineRule="auto"/>
        <w:ind w:left="200"/>
      </w:pPr>
      <w:r>
        <w:rPr>
          <w:color w:val="1F1F1F"/>
          <w:sz w:val="17"/>
        </w:rPr>
        <w:t xml:space="preserve">Harvard SEAS Executive Certificate in LLMs &amp; Agentic AI; Stanford Python Certification (Matt Harrison); University of Denver Graduate Certificate in AI Strategy &amp; Credly Governance; St. Joseph's M.S. &amp; B.S. in Computer Science.</w:t>
      </w:r>
    </w:p>
    <w:p>
      <w:pPr>
        <w:spacing w:before="20" w:after="10" w:line="240" w:lineRule="auto"/>
        <w:shd w:val="clear" w:color="auto" w:fill="EBF1F5"/>
      </w:pPr>
      <w:r>
        <w:rPr>
          <w:b/>
          <w:color w:val="17365D"/>
          <w:sz w:val="18"/>
        </w:rPr>
        <w:t xml:space="preserve">Nice-to-Have &amp; Culture Match (10% Weight) — </w:t>
      </w:r>
      <w:r>
        <w:rPr>
          <w:b/>
          <w:color w:val="5B9BD5"/>
          <w:sz w:val="18"/>
        </w:rPr>
        <w:t xml:space="preserve">Score: 8 / 10 (80.0%)</w:t>
      </w:r>
    </w:p>
    <w:p>
      <w:pPr>
        <w:spacing w:before="0" w:after="15" w:line="240" w:lineRule="auto"/>
        <w:ind w:left="200"/>
      </w:pPr>
      <w:r>
        <w:rPr>
          <w:color w:val="1F1F1F"/>
          <w:sz w:val="17"/>
        </w:rPr>
        <w:t xml:space="preserve">Insurance and financial services domain fluency (Allstate, Citibank); remote work readiness (FCC broadband compliant); written documentation and live training mastery. Video production addressed via recorded Loom walkthroughs.</w:t>
      </w:r>
    </w:p>
    <w:p>
      <w:pPr>
        <w:spacing w:before="120" w:after="25" w:line="240" w:lineRule="auto"/>
        <w:pBdr>
          <w:bottom w:val="single" w:sz="6" w:space="4" w:color="17365D"/>
        </w:pBdr>
      </w:pPr>
      <w:r>
        <w:rPr>
          <w:rFonts w:ascii="Times New Roman" w:hAnsi="Times New Roman"/>
          <w:b/>
          <w:color w:val="17365D"/>
          <w:sz w:val="22"/>
        </w:rPr>
        <w:t xml:space="preserve">3. Requirement-by-Requirement Evidence Mapping</w:t>
      </w:r>
    </w:p>
    <w:p>
      <w:pPr>
        <w:spacing w:before="25" w:after="10" w:line="240" w:lineRule="auto"/>
      </w:pPr>
      <w:r>
        <w:rPr>
          <w:b/>
          <w:color w:val="17365D"/>
          <w:sz w:val="18"/>
        </w:rPr>
        <w:t xml:space="preserve">1. Experienced Technical Communicator (5+ yrs across engineering, DevRel, or enablement): </w:t>
      </w:r>
      <w:r>
        <w:rPr>
          <w:b/>
          <w:color w:val="17365D"/>
          <w:sz w:val="17"/>
        </w:rPr>
        <w:t xml:space="preserve">[MATCHED]</w:t>
      </w:r>
    </w:p>
    <w:p>
      <w:pPr>
        <w:spacing w:before="0" w:after="15" w:line="240" w:lineRule="auto"/>
        <w:ind w:left="200"/>
      </w:pPr>
      <w:r>
        <w:rPr>
          <w:color w:val="1F1F1F"/>
          <w:sz w:val="17"/>
        </w:rPr>
        <w:t xml:space="preserve">Candidate brings 20+ years of technical communication across complex enterprise environments. Trained 85+ cohort users at the Department of the Interior, authored agency-wide training guides, mediated complex IPAC billing disputes between federal contracting officers and platform vendors, and established company-wide SDLC standards on Acxiom's Methodology Board. Easily bridges technical depth with executive clarity.</w:t>
      </w:r>
    </w:p>
    <w:p>
      <w:pPr>
        <w:spacing w:before="25" w:after="10" w:line="240" w:lineRule="auto"/>
      </w:pPr>
      <w:r>
        <w:rPr>
          <w:b/>
          <w:color w:val="17365D"/>
          <w:sz w:val="18"/>
        </w:rPr>
        <w:t xml:space="preserve">2. Hands-on with AI: Fluent with AI coding agents (like Claude Code) &amp; real things built: </w:t>
      </w:r>
      <w:r>
        <w:rPr>
          <w:b/>
          <w:color w:val="17365D"/>
          <w:sz w:val="17"/>
        </w:rPr>
        <w:t xml:space="preserve">[MATCHED]</w:t>
      </w:r>
    </w:p>
    <w:p>
      <w:pPr>
        <w:spacing w:before="0" w:after="15" w:line="240" w:lineRule="auto"/>
        <w:ind w:left="200"/>
      </w:pPr>
      <w:r>
        <w:rPr>
          <w:color w:val="1F1F1F"/>
          <w:sz w:val="17"/>
        </w:rPr>
        <w:t xml:space="preserve">Completed seven OpenAI Codex bootcamps (Fundamentals, 201, 301). Mastered CLI, IDE extension, and app workflows, Plan Mode trade-off analysis, parallel Git worktrees, and automated build–test–fix loops with regression verification. Engineered custom TOML and markdown agents in Google Antigravity with runtime hooks and subagent delegation. Holds Harvard SEAS Executive Certificate in LLMs and Agentic AI.</w:t>
      </w:r>
    </w:p>
    <w:p>
      <w:pPr>
        <w:spacing w:before="25" w:after="10" w:line="240" w:lineRule="auto"/>
      </w:pPr>
      <w:r>
        <w:rPr>
          <w:b/>
          <w:color w:val="17365D"/>
          <w:sz w:val="18"/>
        </w:rPr>
        <w:t xml:space="preserve">3. Engineering ability to build integrations and demos (Python, APIs) to earn engineers' trust: </w:t>
      </w:r>
      <w:r>
        <w:rPr>
          <w:b/>
          <w:color w:val="17365D"/>
          <w:sz w:val="17"/>
        </w:rPr>
        <w:t xml:space="preserve">[MATCHED]</w:t>
      </w:r>
    </w:p>
    <w:p>
      <w:pPr>
        <w:spacing w:before="0" w:after="15" w:line="240" w:lineRule="auto"/>
        <w:ind w:left="200"/>
      </w:pPr>
      <w:r>
        <w:rPr>
          <w:color w:val="1F1F1F"/>
          <w:sz w:val="17"/>
        </w:rPr>
        <w:t xml:space="preserve">Certified in Python Data Analysis by Stanford Continuing Studies (taught by Matt Harrison); holds M.S. and B.S. in Computer Science. Built full-stack applications with FastAPI, Pydantic data contract validation, and RESTful APIs deployed on Google Cloud Run. Architected multi-agent graph pipelines in LangGraph StateGraph.</w:t>
      </w:r>
    </w:p>
    <w:p>
      <w:pPr>
        <w:spacing w:before="25" w:after="10" w:line="240" w:lineRule="auto"/>
      </w:pPr>
      <w:r>
        <w:rPr>
          <w:b/>
          <w:color w:val="17365D"/>
          <w:sz w:val="18"/>
        </w:rPr>
        <w:t xml:space="preserve">4. Strong writing and presentation skills: docs, talks, and office hours: </w:t>
      </w:r>
      <w:r>
        <w:rPr>
          <w:b/>
          <w:color w:val="17365D"/>
          <w:sz w:val="17"/>
        </w:rPr>
        <w:t xml:space="preserve">[MATCHED]</w:t>
      </w:r>
    </w:p>
    <w:p>
      <w:pPr>
        <w:spacing w:before="0" w:after="15" w:line="240" w:lineRule="auto"/>
        <w:ind w:left="200"/>
      </w:pPr>
      <w:r>
        <w:rPr>
          <w:color w:val="1F1F1F"/>
          <w:sz w:val="17"/>
        </w:rPr>
        <w:t xml:space="preserve">Authored enterprise prompting frameworks (Outcome, Constraints, Scope, Definition of Done, Verification Rules) and lean AGENTS.md standards. Authored 3 published papers on AI Strategy, Logistics, and Ethics. Designed and delivered multi-cohort training programs for federal users, reducing recurring technical escalations.</w:t>
      </w:r>
    </w:p>
    <w:p>
      <w:pPr>
        <w:spacing w:before="25" w:after="10" w:line="240" w:lineRule="auto"/>
      </w:pPr>
      <w:r>
        <w:rPr>
          <w:b/>
          <w:color w:val="17365D"/>
          <w:sz w:val="18"/>
        </w:rPr>
        <w:t xml:space="preserve">5. A knack for driving adoption and measuring what works: </w:t>
      </w:r>
      <w:r>
        <w:rPr>
          <w:b/>
          <w:color w:val="17365D"/>
          <w:sz w:val="17"/>
        </w:rPr>
        <w:t xml:space="preserve">[MATCHED]</w:t>
      </w:r>
    </w:p>
    <w:p>
      <w:pPr>
        <w:spacing w:before="0" w:after="15" w:line="240" w:lineRule="auto"/>
        <w:ind w:left="200"/>
      </w:pPr>
      <w:r>
        <w:rPr>
          <w:color w:val="1F1F1F"/>
          <w:sz w:val="17"/>
        </w:rPr>
        <w:t xml:space="preserve">14-year track record as senior escalation lead, analyzing root causes to systematically eliminate recurring support issues. Defined Goal Mode exit criteria, token budgets, recursion limits, and golden-set benchmark evaluations to empirically prove agent efficacy and ROI.</w:t>
      </w:r>
    </w:p>
    <w:p>
      <w:pPr>
        <w:spacing w:before="25" w:after="10" w:line="240" w:lineRule="auto"/>
      </w:pPr>
      <w:r>
        <w:rPr>
          <w:b/>
          <w:color w:val="17365D"/>
          <w:sz w:val="18"/>
        </w:rPr>
        <w:t xml:space="preserve">6. Enterprise AI tooling &amp; Model Context Protocol (MCP) servers: </w:t>
      </w:r>
      <w:r>
        <w:rPr>
          <w:b/>
          <w:color w:val="17365D"/>
          <w:sz w:val="17"/>
        </w:rPr>
        <w:t xml:space="preserve">[MATCHED]</w:t>
      </w:r>
    </w:p>
    <w:p>
      <w:pPr>
        <w:spacing w:before="0" w:after="15" w:line="240" w:lineRule="auto"/>
        <w:ind w:left="200"/>
      </w:pPr>
      <w:r>
        <w:rPr>
          <w:color w:val="1F1F1F"/>
          <w:sz w:val="17"/>
        </w:rPr>
        <w:t xml:space="preserve">Architected Model Context Protocol (MCP) servers and plugins connecting agent environments to Figma for design ingestion, GitHub for version control, Atlassian for ticket tracking, and Google Workspace (Docs, Sheets, Drive, Gmail) for document synthesis. Vetted third-party plugins for safe enterprise use with bounded permissions.</w:t>
      </w:r>
    </w:p>
    <w:p>
      <w:pPr>
        <w:spacing w:before="25" w:after="10" w:line="240" w:lineRule="auto"/>
      </w:pPr>
      <w:r>
        <w:rPr>
          <w:b/>
          <w:color w:val="17365D"/>
          <w:sz w:val="18"/>
        </w:rPr>
        <w:t xml:space="preserve">7. Synergy with Symetra's 'docstream' platform: </w:t>
      </w:r>
      <w:r>
        <w:rPr>
          <w:b/>
          <w:color w:val="17365D"/>
          <w:sz w:val="17"/>
        </w:rPr>
        <w:t xml:space="preserve">[MATCHED (SUPER-SIGNAL)]</w:t>
      </w:r>
    </w:p>
    <w:p>
      <w:pPr>
        <w:spacing w:before="0" w:after="15" w:line="240" w:lineRule="auto"/>
        <w:ind w:left="200"/>
      </w:pPr>
      <w:r>
        <w:rPr>
          <w:color w:val="1F1F1F"/>
          <w:sz w:val="17"/>
        </w:rPr>
        <w:t xml:space="preserve">Symetra's first production product is docstream, an AI-powered document-processing platform. Candidate built the Stanford TECH 77 Document-Intelligence pipeline: OCR-to-RAG workflow comparing Vision Language Models (VLMs) and Document Transformers against OCR baselines, using LangGraph StateGraph conditional routing, Pydantic schema validation, and prompt-injection anomaly gating. Direct architectural alignment.</w:t>
      </w:r>
    </w:p>
    <w:p>
      <w:pPr>
        <w:spacing w:before="25" w:after="10" w:line="240" w:lineRule="auto"/>
      </w:pPr>
      <w:r>
        <w:rPr>
          <w:b/>
          <w:color w:val="17365D"/>
          <w:sz w:val="18"/>
        </w:rPr>
        <w:t xml:space="preserve">8. Video Content Production (Studio in Bellevue, WA): </w:t>
      </w:r>
      <w:r>
        <w:rPr>
          <w:b/>
          <w:color w:val="5B9BD5"/>
          <w:sz w:val="17"/>
        </w:rPr>
        <w:t xml:space="preserve">[PARTIAL / STRATEGICALLY ADDRESSED]</w:t>
      </w:r>
    </w:p>
    <w:p>
      <w:pPr>
        <w:spacing w:before="0" w:after="15" w:line="240" w:lineRule="auto"/>
        <w:ind w:left="200"/>
      </w:pPr>
      <w:r>
        <w:rPr>
          <w:color w:val="1F1F1F"/>
          <w:sz w:val="17"/>
        </w:rPr>
        <w:t xml:space="preserve">Candidate has extensive live cohort presentation and written documentation experience. Video content creation is addressed through recorded technical walkthroughs, Loom screen-recording demos, and recorded office-hours clips that turn complex agent workflows into bite-sized internal enablement content.</w:t>
      </w:r>
    </w:p>
    <w:p>
      <w:pPr>
        <w:spacing w:before="120" w:after="25" w:line="240" w:lineRule="auto"/>
        <w:pBdr>
          <w:bottom w:val="single" w:sz="6" w:space="4" w:color="17365D"/>
        </w:pBdr>
      </w:pPr>
      <w:r>
        <w:rPr>
          <w:rFonts w:ascii="Times New Roman" w:hAnsi="Times New Roman"/>
          <w:b/>
          <w:color w:val="17365D"/>
          <w:sz w:val="22"/>
        </w:rPr>
        <w:t xml:space="preserve">4. Strategic Positioning &amp; Interview Recommendations</w:t>
      </w:r>
    </w:p>
    <w:p>
      <w:pPr>
        <w:spacing w:before="0" w:after="15" w:line="240" w:lineRule="auto"/>
        <w:ind w:left="288" w:hanging="180"/>
      </w:pPr>
      <w:r>
        <w:rPr>
          <w:color w:val="1F1F1F"/>
          <w:sz w:val="17"/>
        </w:rPr>
        <w:t xml:space="preserve">• Position as a High-Empathy Technical Bridge: Frame your 20+ years of enterprise platform conversions and Acxiom/DOI lineage as proof that you understand the organizational inertia, compliance sensitivities, and user hesitation that slow down enterprise adoption.</w:t>
      </w:r>
    </w:p>
    <w:p>
      <w:pPr>
        <w:spacing w:before="0" w:after="15" w:line="240" w:lineRule="auto"/>
        <w:ind w:left="288" w:hanging="180"/>
      </w:pPr>
      <w:r>
        <w:rPr>
          <w:color w:val="1F1F1F"/>
          <w:sz w:val="17"/>
        </w:rPr>
        <w:t xml:space="preserve">• Highlight 'docstream' Synergy Early: Reference your Stanford TECH 77 document intelligence pipeline in your opening remarks. Showing that you have already built schema-governed, OCR-to-RAG extraction graphs gives you immediate engineering credibility with the docstream builders.</w:t>
      </w:r>
    </w:p>
    <w:p>
      <w:pPr>
        <w:spacing w:before="0" w:after="15" w:line="240" w:lineRule="auto"/>
        <w:ind w:left="288" w:hanging="180"/>
      </w:pPr>
      <w:r>
        <w:rPr>
          <w:color w:val="1F1F1F"/>
          <w:sz w:val="17"/>
        </w:rPr>
        <w:t xml:space="preserve">• Demonstrate the MCP + Coding Agent Advantage: Emphasize that you don't just 'use' AI tools—you configure TOML agents, build MCP servers (Figma, GitHub, Google Workspace), and enforce bounded execution guardrails (NIST AI RMF 1.0).</w:t>
      </w:r>
    </w:p>
    <w:p>
      <w:pPr>
        <w:spacing w:before="0" w:after="15" w:line="240" w:lineRule="auto"/>
        <w:ind w:left="288" w:hanging="180"/>
      </w:pPr>
      <w:r>
        <w:rPr>
          <w:color w:val="1F1F1F"/>
          <w:sz w:val="17"/>
        </w:rPr>
        <w:t xml:space="preserve">• Emphasize the 'Start Deterministic' Enablement Philosophy: Share your golden rule for developer coaching: 'start deterministic, add agents only when variability warrants it.' This reassures engineering leaders that you advocate for cost-effective, maintainable software.</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s>
</file>