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jc w:val="center"/>
        <w:spacing w:before="0" w:after="20" w:line="240" w:lineRule="auto"/>
      </w:pPr>
      <w:r>
        <w:rPr>
          <w:rFonts w:ascii="Times New Roman" w:hAnsi="Times New Roman"/>
          <w:b/>
          <w:color w:val="17365D"/>
          <w:sz w:val="36"/>
        </w:rPr>
        <w:t xml:space="preserve">Ebenezer J. Rolston</w:t>
      </w:r>
    </w:p>
    <w:p>
      <w:pPr>
        <w:jc w:val="center"/>
        <w:spacing w:before="0" w:after="30" w:line="240" w:lineRule="auto"/>
      </w:pPr>
      <w:r>
        <w:rPr>
          <w:rFonts w:ascii="Times New Roman" w:hAnsi="Times New Roman"/>
          <w:b/>
          <w:color w:val="17365D"/>
          <w:sz w:val="19"/>
        </w:rPr>
        <w:t xml:space="preserve">Enterprise Business Analysis • Requirements Engineering • Government Systems &amp; Data Integration</w:t>
      </w:r>
    </w:p>
    <w:p>
      <w:pPr>
        <w:jc w:val="center"/>
        <w:spacing w:before="0" w:after="80" w:line="240" w:lineRule="auto"/>
      </w:pPr>
      <w:r>
        <w:rPr>
          <w:color w:val="1F1F1F"/>
          <w:sz w:val="18"/>
        </w:rPr>
        <w:t xml:space="preserve">Denver, CO • </w:t>
      </w:r>
      <w:r>
        <w:rPr>
          <w:color w:val="1F1F1F"/>
          <w:sz w:val="18"/>
        </w:rPr>
        <w:t xml:space="preserve">eberolston@yahoo.com</w:t>
      </w:r>
      <w:r>
        <w:rPr>
          <w:color w:val="1F1F1F"/>
          <w:sz w:val="18"/>
        </w:rPr>
        <w:t xml:space="preserve"> • 501-307-3237 • </w:t>
      </w:r>
      <w:hyperlink r:id="rIdHyperlink1">
        <w:r>
          <w:rPr>
            <w:b/>
            <w:color w:val="17365D"/>
            <w:sz w:val="18"/>
            <w:u w:val="single"/>
          </w:rPr>
          <w:t xml:space="preserve">LinkedIn</w:t>
        </w:r>
      </w:hyperlink>
      <w:r>
        <w:rPr>
          <w:color w:val="1F1F1F"/>
          <w:sz w:val="18"/>
        </w:rPr>
        <w:t xml:space="preserve"> • </w:t>
      </w:r>
      <w:hyperlink r:id="rIdHyperlink2">
        <w:r>
          <w:rPr>
            <w:b/>
            <w:color w:val="17365D"/>
            <w:sz w:val="18"/>
            <w:u w:val="single"/>
          </w:rPr>
          <w:t xml:space="preserve">GitHub</w:t>
        </w:r>
      </w:hyperlink>
      <w:r>
        <w:rPr>
          <w:color w:val="1F1F1F"/>
          <w:sz w:val="18"/>
        </w:rPr>
        <w:t xml:space="preserve"> • </w:t>
      </w:r>
      <w:hyperlink r:id="rIdHyperlink3">
        <w:r>
          <w:rPr>
            <w:b/>
            <w:color w:val="17365D"/>
            <w:sz w:val="18"/>
            <w:u w:val="single"/>
          </w:rPr>
          <w:t xml:space="preserve">AI Guardians</w:t>
        </w:r>
      </w:hyperlink>
    </w:p>
    <w:p>
      <w:pPr>
        <w:spacing w:before="120" w:after="40" w:line="240" w:lineRule="auto"/>
      </w:pPr>
      <w:r>
        <w:rPr>
          <w:b/>
          <w:color w:val="17365D"/>
          <w:sz w:val="20"/>
        </w:rPr>
        <w:t xml:space="preserve">PROFESSIONAL SUMMARY</w:t>
      </w:r>
    </w:p>
    <w:p>
      <w:pPr>
        <w:spacing w:before="0" w:after="40" w:line="240" w:lineRule="auto"/>
      </w:pPr>
      <w:r>
        <w:rPr>
          <w:color w:val="1F1F1F"/>
          <w:sz w:val="18"/>
        </w:rPr>
        <w:t xml:space="preserve">Accomplished Senior Business Analyst and Enterprise Systems Specialist with 20+ years of experience leading requirements engineering, business process modeling, relational database analysis, and software delivery across federal, state, and large-scale enterprise environments. Served 14 years supporting mission-critical enterprise platforms at the U.S. Department of the Interior Acquisition Directorate and IBC, acting as cross-functional Analyst Lead and Senior Escalation Lead handling 5 to 10 high-impact technical incidents daily. Proven expertise in translating complex stakeholder needs into precise system requirements, user stories, functional test cases, and standard operating procedures (SOPs). Skilled in MS SQL Server, Oracle, PostgreSQL, data validation, automated reconciliation, and UAT execution. Brings 11 years at Acxiom engineering large-scale Customer 360 data pipelines and identity resolution frameworks, with deep proximity to public health and demographic data hygiene. Holds an M.S. and B.S. in Computer Science, a Graduate Certificate in AI Strategy from the University of Denver, credentials from Stanford and Harvard, and is a two-time recipient of Department of the Interior Awards for Excellence.</w:t>
      </w:r>
    </w:p>
    <w:p>
      <w:pPr>
        <w:spacing w:before="0" w:after="80" w:line="240" w:lineRule="auto"/>
      </w:pPr>
      <w:r>
        <w:rPr>
          <w:b/>
          <w:i/>
          <w:color w:val="5B9BD5"/>
          <w:sz w:val="18"/>
        </w:rPr>
        <w:t xml:space="preserve">Winner of two Department of Interior Awards</w:t>
      </w:r>
    </w:p>
    <w:p>
      <w:pPr>
        <w:spacing w:before="100" w:after="40" w:line="240" w:lineRule="auto"/>
      </w:pPr>
      <w:r>
        <w:rPr>
          <w:b/>
          <w:color w:val="17365D"/>
          <w:sz w:val="20"/>
        </w:rPr>
        <w:t xml:space="preserve">CORE COMPETENCIES</w:t>
      </w:r>
    </w:p>
    <w:p>
      <w:pPr>
        <w:spacing w:before="0" w:after="100" w:line="240" w:lineRule="auto"/>
      </w:pPr>
      <w:r>
        <w:rPr>
          <w:b/>
          <w:color w:val="1F1F1F"/>
          <w:sz w:val="17"/>
        </w:rPr>
        <w:t xml:space="preserve">▪ Business Requirements Gathering ▪ Functional &amp; System Specifications ▪ User Stories &amp; Acceptance Criteria ▪ Relational Databases &amp; MS SQL Server ▪ Data Quality &amp; Automated Reconciliation ▪ Process Modeling &amp; Workflow Optimization ▪ UAT &amp; Functional Test Execution ▪ Root Cause Analysis &amp; Defect Resolution ▪ Government Systems &amp; Compliance ▪ Cross-Functional Stakeholder Alignment ▪ Standard Operating Procedures ▪ Agile &amp; SDLC Methodologies</w:t>
      </w:r>
    </w:p>
    <w:p>
      <w:pPr>
        <w:spacing w:before="120" w:after="40" w:line="240" w:lineRule="auto"/>
      </w:pPr>
      <w:r>
        <w:rPr>
          <w:b/>
          <w:color w:val="17365D"/>
          <w:sz w:val="20"/>
        </w:rPr>
        <w:t xml:space="preserve">PROFESSIONAL EXPERIENCE</w:t>
      </w:r>
    </w:p>
    <w:p>
      <w:pPr>
        <w:spacing w:before="40" w:after="10" w:line="240" w:lineRule="auto"/>
      </w:pPr>
      <w:r>
        <w:rPr>
          <w:b/>
          <w:color w:val="17365D"/>
          <w:sz w:val="19"/>
        </w:rPr>
        <w:t xml:space="preserve">AI Engineering &amp; Enablement</w:t>
      </w:r>
      <w:r>
        <w:rPr>
          <w:color w:val="1F1F1F"/>
          <w:sz w:val="19"/>
        </w:rPr>
        <w:t xml:space="preserve"> | AI Guardians LLC</w:t>
      </w:r>
    </w:p>
    <w:p>
      <w:pPr>
        <w:spacing w:before="0" w:after="20" w:line="240" w:lineRule="auto"/>
      </w:pPr>
      <w:r>
        <w:rPr>
          <w:i/>
          <w:color w:val="595959"/>
          <w:sz w:val="17"/>
        </w:rPr>
        <w:t xml:space="preserve">Denver, CO | Jan 2026–Present</w:t>
      </w:r>
    </w:p>
    <w:p>
      <w:pPr>
        <w:spacing w:before="0" w:after="20" w:line="240" w:lineRule="auto"/>
      </w:pPr>
      <w:r>
        <w:rPr>
          <w:color w:val="1F1F1F"/>
          <w:sz w:val="18"/>
        </w:rPr>
        <w:t xml:space="preserve">Architected schema-governed data pipelines and API tool contracts using Python, Pydantic, and JSON Schema, establishing rigorous validation rules for heterogeneous data ingestion.</w:t>
      </w:r>
    </w:p>
    <w:p>
      <w:pPr>
        <w:spacing w:before="0" w:after="20" w:line="240" w:lineRule="auto"/>
      </w:pPr>
      <w:r>
        <w:rPr>
          <w:color w:val="1F1F1F"/>
          <w:sz w:val="18"/>
        </w:rPr>
        <w:t xml:space="preserve">Engineered automated regression validation suites and deterministic quality checks, replacing stochastic models with verifiable schema contracts.</w:t>
      </w:r>
    </w:p>
    <w:p>
      <w:pPr>
        <w:spacing w:before="0" w:after="20" w:line="240" w:lineRule="auto"/>
      </w:pPr>
      <w:r>
        <w:rPr>
          <w:color w:val="1F1F1F"/>
          <w:sz w:val="18"/>
        </w:rPr>
        <w:t xml:space="preserve">Integrated multi-source enterprise data streams via Model Context Protocol servers, standardizing context schemas and eliminating data pipeline drift.</w:t>
      </w:r>
    </w:p>
    <w:p>
      <w:pPr>
        <w:spacing w:before="0" w:after="20" w:line="240" w:lineRule="auto"/>
      </w:pPr>
      <w:r>
        <w:rPr>
          <w:color w:val="1F1F1F"/>
          <w:sz w:val="18"/>
        </w:rPr>
        <w:t xml:space="preserve">Designed comprehensive data governance scorecards and compliance checklists aligned with NIST AI RMF 1.0 and enterprise data standards.</w:t>
      </w:r>
    </w:p>
    <w:p>
      <w:pPr>
        <w:spacing w:before="60" w:after="10" w:line="240" w:lineRule="auto"/>
      </w:pPr>
      <w:r>
        <w:rPr>
          <w:b/>
          <w:color w:val="17365D"/>
          <w:sz w:val="19"/>
        </w:rPr>
        <w:t xml:space="preserve">Program Analyst, Acquisition Directorate</w:t>
      </w:r>
      <w:r>
        <w:rPr>
          <w:color w:val="1F1F1F"/>
          <w:sz w:val="19"/>
        </w:rPr>
        <w:t xml:space="preserve"> | U.S. Department of the Interior</w:t>
      </w:r>
    </w:p>
    <w:p>
      <w:pPr>
        <w:spacing w:before="0" w:after="10" w:line="240" w:lineRule="auto"/>
      </w:pPr>
      <w:r>
        <w:rPr>
          <w:i/>
          <w:color w:val="595959"/>
          <w:sz w:val="17"/>
        </w:rPr>
        <w:t xml:space="preserve">Denver, CO | Jan–Sep 2025</w:t>
      </w:r>
    </w:p>
    <w:p>
      <w:pPr>
        <w:spacing w:before="0" w:after="20" w:line="240" w:lineRule="auto"/>
      </w:pPr>
      <w:r>
        <w:rPr>
          <w:i/>
          <w:color w:val="17365D"/>
          <w:sz w:val="17"/>
        </w:rPr>
        <w:t xml:space="preserve">Cross-functional Analyst lead for Acquisition Directorate enterprise systems and business technology; GS-13</w:t>
      </w:r>
    </w:p>
    <w:p>
      <w:pPr>
        <w:spacing w:before="0" w:after="20" w:line="240" w:lineRule="auto"/>
      </w:pPr>
      <w:r>
        <w:rPr>
          <w:color w:val="1F1F1F"/>
          <w:sz w:val="18"/>
        </w:rPr>
        <w:t xml:space="preserve">Senior operational lead for enterprise procurement and financial platforms, managing business workflows, assuring data integrity, and ensuring high-availability system reliability.</w:t>
      </w:r>
    </w:p>
    <w:p>
      <w:pPr>
        <w:spacing w:before="0" w:after="20" w:line="240" w:lineRule="auto"/>
      </w:pPr>
      <w:r>
        <w:rPr>
          <w:color w:val="1F1F1F"/>
          <w:sz w:val="18"/>
        </w:rPr>
        <w:t xml:space="preserve">Triaged enterprise data discrepancies and platform defects across technical and operational teams, accelerating resolution times and improving data consistency.</w:t>
      </w:r>
    </w:p>
    <w:p>
      <w:pPr>
        <w:spacing w:before="0" w:after="20" w:line="240" w:lineRule="auto"/>
      </w:pPr>
      <w:r>
        <w:rPr>
          <w:color w:val="1F1F1F"/>
          <w:sz w:val="18"/>
        </w:rPr>
        <w:t xml:space="preserve">Delivered targeted user training, SOP documentation, and operational guidance that improved system adoption and reduced repeat data errors.</w:t>
      </w:r>
    </w:p>
    <w:p>
      <w:pPr>
        <w:spacing w:before="0" w:after="20" w:line="240" w:lineRule="auto"/>
      </w:pPr>
      <w:r>
        <w:rPr>
          <w:color w:val="1F1F1F"/>
          <w:sz w:val="18"/>
        </w:rPr>
        <w:t xml:space="preserve">Resolved complex vendor platform defects and contractual billing data discrepancies, ensuring strict compliance with federal procurement standards.</w:t>
      </w:r>
    </w:p>
    <w:p>
      <w:pPr>
        <w:spacing w:before="60" w:after="10" w:line="240" w:lineRule="auto"/>
      </w:pPr>
      <w:r>
        <w:rPr>
          <w:b/>
          <w:color w:val="17365D"/>
          <w:sz w:val="19"/>
        </w:rPr>
        <w:t xml:space="preserve">Senior Analyst Consultant</w:t>
      </w:r>
      <w:r>
        <w:rPr>
          <w:color w:val="1F1F1F"/>
          <w:sz w:val="19"/>
        </w:rPr>
        <w:t xml:space="preserve"> | ARK Solutions — Client : IBC Acquisition Directorate</w:t>
      </w:r>
    </w:p>
    <w:p>
      <w:pPr>
        <w:spacing w:before="0" w:after="10" w:line="240" w:lineRule="auto"/>
      </w:pPr>
      <w:r>
        <w:rPr>
          <w:i/>
          <w:color w:val="595959"/>
          <w:sz w:val="17"/>
        </w:rPr>
        <w:t xml:space="preserve">Denver, CO | 2011–2025</w:t>
      </w:r>
    </w:p>
    <w:p>
      <w:pPr>
        <w:spacing w:before="0" w:after="20" w:line="240" w:lineRule="auto"/>
      </w:pPr>
      <w:r>
        <w:rPr>
          <w:i/>
          <w:color w:val="17365D"/>
          <w:sz w:val="17"/>
        </w:rPr>
        <w:t xml:space="preserve">14-year enterprise business support, data migration, vendor support &amp; client training</w:t>
      </w:r>
    </w:p>
    <w:p>
      <w:pPr>
        <w:spacing w:before="0" w:after="20" w:line="240" w:lineRule="auto"/>
      </w:pPr>
      <w:r>
        <w:rPr>
          <w:color w:val="1F1F1F"/>
          <w:sz w:val="18"/>
        </w:rPr>
        <w:t xml:space="preserve">Served as Senior Escalation Lead handling 5 to 10 mission-critical enterprise incidents daily; performed root-cause analysis to systematically eliminate recurring defect patterns.</w:t>
      </w:r>
    </w:p>
    <w:p>
      <w:pPr>
        <w:spacing w:before="0" w:after="20" w:line="240" w:lineRule="auto"/>
      </w:pPr>
      <w:r>
        <w:rPr>
          <w:color w:val="1F1F1F"/>
          <w:sz w:val="18"/>
        </w:rPr>
        <w:t xml:space="preserve">Gathered and translated complex business needs into functional requirements, user stories, acceptance criteria, and system design specifications for engineering teams.</w:t>
      </w:r>
    </w:p>
    <w:p>
      <w:pPr>
        <w:spacing w:before="0" w:after="20" w:line="240" w:lineRule="auto"/>
      </w:pPr>
      <w:r>
        <w:rPr>
          <w:color w:val="1F1F1F"/>
          <w:sz w:val="18"/>
        </w:rPr>
        <w:t xml:space="preserve">Served as Department ETL Architect for the multi-agency FBMS conversion, migrating, cleansing, and validating bureau databases into SAP S/4 across 4 federal agencies.</w:t>
      </w:r>
    </w:p>
    <w:p>
      <w:pPr>
        <w:spacing w:before="0" w:after="20" w:line="240" w:lineRule="auto"/>
      </w:pPr>
      <w:r>
        <w:rPr>
          <w:color w:val="1F1F1F"/>
          <w:sz w:val="18"/>
        </w:rPr>
        <w:t xml:space="preserve">Engineered automated SQL reconciliation scripts across relational database systems (MS SQL Server, Oracle) to validate pre- and post-migration data integrity.</w:t>
      </w:r>
    </w:p>
    <w:p>
      <w:pPr>
        <w:spacing w:before="0" w:after="20" w:line="240" w:lineRule="auto"/>
      </w:pPr>
      <w:r>
        <w:rPr>
          <w:color w:val="1F1F1F"/>
          <w:sz w:val="18"/>
        </w:rPr>
        <w:t xml:space="preserve">Authored comprehensive Standard Operating Procedures (SOPs), requirements traceability matrices, and technical documentation; delivered hands-on training to 85+ end users.</w:t>
      </w:r>
    </w:p>
    <w:p>
      <w:pPr>
        <w:spacing w:before="60" w:after="10" w:line="240" w:lineRule="auto"/>
      </w:pPr>
      <w:r>
        <w:rPr>
          <w:b/>
          <w:color w:val="17365D"/>
          <w:sz w:val="19"/>
        </w:rPr>
        <w:t xml:space="preserve">Senior Solutions Architect / Systems Analyst</w:t>
      </w:r>
      <w:r>
        <w:rPr>
          <w:color w:val="1F1F1F"/>
          <w:sz w:val="19"/>
        </w:rPr>
        <w:t xml:space="preserve"> | Acxiom Corporation</w:t>
      </w:r>
    </w:p>
    <w:p>
      <w:pPr>
        <w:spacing w:before="0" w:after="10" w:line="240" w:lineRule="auto"/>
      </w:pPr>
      <w:r>
        <w:rPr>
          <w:i/>
          <w:color w:val="595959"/>
          <w:sz w:val="17"/>
        </w:rPr>
        <w:t xml:space="preserve">Conway, AR | 2000–2011</w:t>
      </w:r>
    </w:p>
    <w:p>
      <w:pPr>
        <w:spacing w:before="0" w:after="20" w:line="240" w:lineRule="auto"/>
      </w:pPr>
      <w:r>
        <w:rPr>
          <w:i/>
          <w:color w:val="17365D"/>
          <w:sz w:val="17"/>
        </w:rPr>
        <w:t xml:space="preserve">11-year progressive leadership in enterprise customer data integration, entity resolution &amp; analytics</w:t>
      </w:r>
    </w:p>
    <w:p>
      <w:pPr>
        <w:spacing w:before="0" w:after="20" w:line="240" w:lineRule="auto"/>
      </w:pPr>
      <w:r>
        <w:rPr>
          <w:color w:val="1F1F1F"/>
          <w:sz w:val="18"/>
        </w:rPr>
        <w:t xml:space="preserve">Led business requirements discovery and systems analysis for Fortune 500 enterprise clients, architecting customer data integration and multi-source ingestion pipelines.</w:t>
      </w:r>
    </w:p>
    <w:p>
      <w:pPr>
        <w:spacing w:before="0" w:after="20" w:line="240" w:lineRule="auto"/>
      </w:pPr>
      <w:r>
        <w:rPr>
          <w:color w:val="1F1F1F"/>
          <w:sz w:val="18"/>
        </w:rPr>
        <w:t xml:space="preserve">Engineered real-time identity scoring, entity resolution algorithms, and demographic data hygiene frameworks matching strict data governance standards.</w:t>
      </w:r>
    </w:p>
    <w:p>
      <w:pPr>
        <w:spacing w:before="0" w:after="20" w:line="240" w:lineRule="auto"/>
      </w:pPr>
      <w:r>
        <w:rPr>
          <w:color w:val="1F1F1F"/>
          <w:sz w:val="18"/>
        </w:rPr>
        <w:t xml:space="preserve">Designed and executed comprehensive functional test suites and acceptance criteria, ensuring byte-level data quality across high-volume transaction databases.</w:t>
      </w:r>
    </w:p>
    <w:p>
      <w:pPr>
        <w:spacing w:before="0" w:after="20" w:line="240" w:lineRule="auto"/>
      </w:pPr>
      <w:r>
        <w:rPr>
          <w:color w:val="1F1F1F"/>
          <w:sz w:val="18"/>
        </w:rPr>
        <w:t xml:space="preserve">Partnered with cross-functional technical teams and client executives to deliver tailored analytical reporting and production operational support.</w:t>
      </w:r>
    </w:p>
    <w:p>
      <w:pPr>
        <w:spacing w:before="120" w:after="40" w:line="240" w:lineRule="auto"/>
      </w:pPr>
      <w:r>
        <w:rPr>
          <w:b/>
          <w:color w:val="17365D"/>
          <w:sz w:val="20"/>
        </w:rPr>
        <w:t xml:space="preserve">DATA ANALYSIS &amp; TECHNICAL PORTFOLIO</w:t>
      </w:r>
    </w:p>
    <w:p>
      <w:pPr>
        <w:spacing w:before="20" w:after="10" w:line="240" w:lineRule="auto"/>
      </w:pPr>
      <w:r>
        <w:rPr>
          <w:b/>
          <w:color w:val="17365D"/>
          <w:sz w:val="19"/>
        </w:rPr>
        <w:t xml:space="preserve">Multimodal Document Intelligence Pipeline</w:t>
      </w:r>
      <w:r>
        <w:rPr>
          <w:i/>
          <w:color w:val="595959"/>
          <w:sz w:val="17"/>
        </w:rPr>
        <w:t xml:space="preserve"> | Stanford Continuing Studies</w:t>
      </w:r>
    </w:p>
    <w:p>
      <w:pPr>
        <w:spacing w:before="0" w:after="15" w:line="240" w:lineRule="auto"/>
      </w:pPr>
      <w:r>
        <w:rPr>
          <w:color w:val="1F1F1F"/>
          <w:sz w:val="18"/>
        </w:rPr>
        <w:t xml:space="preserve">Built an auditable document intelligence pipeline using LangGraph and OCR parsing for unstructured business records, enforcing schema-governed validation and confidence scoring.</w:t>
      </w:r>
    </w:p>
    <w:p>
      <w:pPr>
        <w:spacing w:before="20" w:after="10" w:line="240" w:lineRule="auto"/>
      </w:pPr>
      <w:r>
        <w:rPr>
          <w:b/>
          <w:color w:val="17365D"/>
          <w:sz w:val="19"/>
        </w:rPr>
        <w:t xml:space="preserve">AI Incident Monitor &amp; Risk Intelligence Platform</w:t>
      </w:r>
      <w:r>
        <w:rPr>
          <w:i/>
          <w:color w:val="595959"/>
          <w:sz w:val="17"/>
        </w:rPr>
        <w:t xml:space="preserve"> | AI Guardians LLC</w:t>
      </w:r>
    </w:p>
    <w:p>
      <w:pPr>
        <w:spacing w:before="0" w:after="20" w:line="240" w:lineRule="auto"/>
      </w:pPr>
      <w:r>
        <w:rPr>
          <w:color w:val="1F1F1F"/>
          <w:sz w:val="18"/>
        </w:rPr>
        <w:t xml:space="preserve">Architected an incident severity scoring and compliance taxonomy platform mapping operational discrepancies against NIST AI RMF standards with automated traceability.</w:t>
      </w:r>
    </w:p>
    <w:p>
      <w:pPr>
        <w:spacing w:before="120" w:after="40" w:line="240" w:lineRule="auto"/>
      </w:pPr>
      <w:r>
        <w:rPr>
          <w:b/>
          <w:color w:val="17365D"/>
          <w:sz w:val="20"/>
        </w:rPr>
        <w:t xml:space="preserve">EDUCATION &amp; PROFESSIONAL CREDENTIALS</w:t>
      </w:r>
    </w:p>
    <w:p>
      <w:pPr>
        <w:spacing w:before="0" w:after="15" w:line="240" w:lineRule="auto"/>
      </w:pPr>
      <w:r>
        <w:rPr>
          <w:b/>
          <w:color w:val="17365D"/>
          <w:sz w:val="18"/>
        </w:rPr>
        <w:t xml:space="preserve">M.S. &amp; B.S. in Computer Science</w:t>
      </w:r>
      <w:r>
        <w:rPr>
          <w:color w:val="1F1F1F"/>
          <w:sz w:val="18"/>
        </w:rPr>
        <w:t xml:space="preserve">: St. Joseph's College</w:t>
      </w:r>
    </w:p>
    <w:p>
      <w:pPr>
        <w:spacing w:before="0" w:after="15" w:line="240" w:lineRule="auto"/>
      </w:pPr>
      <w:r>
        <w:rPr>
          <w:b/>
          <w:color w:val="17365D"/>
          <w:sz w:val="18"/>
        </w:rPr>
        <w:t xml:space="preserve">Graduate Certificate in AI Strategy &amp; Applications in IT</w:t>
      </w:r>
      <w:r>
        <w:rPr>
          <w:color w:val="1F1F1F"/>
          <w:sz w:val="18"/>
        </w:rPr>
        <w:t xml:space="preserve">: University of Denver</w:t>
      </w:r>
    </w:p>
    <w:p>
      <w:pPr>
        <w:spacing w:before="0" w:after="15" w:line="240" w:lineRule="auto"/>
      </w:pPr>
      <w:r>
        <w:rPr>
          <w:b/>
          <w:color w:val="17365D"/>
          <w:sz w:val="18"/>
        </w:rPr>
        <w:t xml:space="preserve">Executive Certificate — LLMs: Transformer to Agentic AI</w:t>
      </w:r>
      <w:r>
        <w:rPr>
          <w:color w:val="1F1F1F"/>
          <w:sz w:val="18"/>
        </w:rPr>
        <w:t xml:space="preserve">: Harvard John A. Paulson SEAS</w:t>
      </w:r>
    </w:p>
    <w:p>
      <w:pPr>
        <w:spacing w:before="0" w:after="15" w:line="240" w:lineRule="auto"/>
      </w:pPr>
      <w:r>
        <w:rPr>
          <w:b/>
          <w:color w:val="17365D"/>
          <w:sz w:val="18"/>
        </w:rPr>
        <w:t xml:space="preserve">Python Data Analysis &amp; Modern Software Architectures</w:t>
      </w:r>
      <w:r>
        <w:rPr>
          <w:color w:val="1F1F1F"/>
          <w:sz w:val="18"/>
        </w:rPr>
        <w:t xml:space="preserve">: Stanford Continuing Studies</w:t>
      </w:r>
    </w:p>
    <w:p>
      <w:pPr>
        <w:spacing w:before="0" w:after="15" w:line="240" w:lineRule="auto"/>
      </w:pPr>
      <w:r>
        <w:rPr>
          <w:b/>
          <w:color w:val="17365D"/>
          <w:sz w:val="18"/>
        </w:rPr>
        <w:t xml:space="preserve">Machine Learning &amp; Deep Learning Specialization</w:t>
      </w:r>
      <w:r>
        <w:rPr>
          <w:color w:val="1F1F1F"/>
          <w:sz w:val="18"/>
        </w:rPr>
        <w:t xml:space="preserve">: UC Berkeley Extension</w:t>
      </w:r>
    </w:p>
    <w:p>
      <w:pPr>
        <w:spacing w:before="0" w:after="15" w:line="240" w:lineRule="auto"/>
      </w:pPr>
      <w:r>
        <w:rPr>
          <w:b/>
          <w:color w:val="17365D"/>
          <w:sz w:val="18"/>
        </w:rPr>
        <w:t xml:space="preserve">OpenAI Codex Bootcamps: Fundamentals, 201, and 301</w:t>
      </w:r>
      <w:r>
        <w:rPr>
          <w:color w:val="1F1F1F"/>
          <w:sz w:val="18"/>
        </w:rPr>
        <w:t xml:space="preserve">: Completed 7 Hands-on Technical Bootcamps</w:t>
      </w:r>
    </w:p>
    <w:p>
      <w:pPr>
        <w:spacing w:before="0" w:after="15" w:line="240" w:lineRule="auto"/>
      </w:pPr>
      <w:r>
        <w:rPr>
          <w:b/>
          <w:color w:val="17365D"/>
          <w:sz w:val="18"/>
        </w:rPr>
        <w:t xml:space="preserve">Two Department of the Interior Awards for Excellence</w:t>
      </w:r>
      <w:r>
        <w:rPr>
          <w:color w:val="1F1F1F"/>
          <w:sz w:val="18"/>
        </w:rPr>
        <w:t xml:space="preserve">: Interior Business Center &amp; FBMS Program</w:t>
      </w:r>
    </w:p>
    <w:p>
      <w:pPr>
        <w:spacing w:before="120" w:after="40" w:line="240" w:lineRule="auto"/>
      </w:pPr>
      <w:r>
        <w:rPr>
          <w:b/>
          <w:color w:val="17365D"/>
          <w:sz w:val="20"/>
        </w:rPr>
        <w:t xml:space="preserve">TECHNICAL PROFICIENCIES</w:t>
      </w:r>
    </w:p>
    <w:p>
      <w:pPr>
        <w:spacing w:before="0" w:after="15" w:line="240" w:lineRule="auto"/>
      </w:pPr>
      <w:r>
        <w:rPr>
          <w:b/>
          <w:color w:val="17365D"/>
          <w:sz w:val="18"/>
        </w:rPr>
        <w:t xml:space="preserve">Business Analysis &amp; Requirements Engineering: </w:t>
      </w:r>
      <w:r>
        <w:rPr>
          <w:color w:val="1F1F1F"/>
          <w:sz w:val="18"/>
        </w:rPr>
        <w:t xml:space="preserve">Requirements Elicitation • User Stories &amp; Acceptance Criteria • Functional &amp; Technical Specifications • Traceability Matrices • Process Flow Diagramming • UML &amp; BPMN • Use Case Modeling • Gap Analysis</w:t>
      </w:r>
    </w:p>
    <w:p>
      <w:pPr>
        <w:spacing w:before="0" w:after="15" w:line="240" w:lineRule="auto"/>
      </w:pPr>
      <w:r>
        <w:rPr>
          <w:b/>
          <w:color w:val="17365D"/>
          <w:sz w:val="18"/>
        </w:rPr>
        <w:t xml:space="preserve">Database Systems &amp; Data Analysis: </w:t>
      </w:r>
      <w:r>
        <w:rPr>
          <w:color w:val="1F1F1F"/>
          <w:sz w:val="18"/>
        </w:rPr>
        <w:t xml:space="preserve">MS SQL Server • Oracle Database • PostgreSQL • Complex SQL Queries • Relational Data Modeling • Schema Normalization • Data Cleansing &amp; Validation • Automated Reconciliation Scripts • Query Optimization</w:t>
      </w:r>
    </w:p>
    <w:p>
      <w:pPr>
        <w:spacing w:before="0" w:after="15" w:line="240" w:lineRule="auto"/>
      </w:pPr>
      <w:r>
        <w:rPr>
          <w:b/>
          <w:color w:val="17365D"/>
          <w:sz w:val="18"/>
        </w:rPr>
        <w:t xml:space="preserve">Testing, Quality Assurance &amp; UAT: </w:t>
      </w:r>
      <w:r>
        <w:rPr>
          <w:color w:val="1F1F1F"/>
          <w:sz w:val="18"/>
        </w:rPr>
        <w:t xml:space="preserve">Functional Test Case Design • User Acceptance Testing (UAT) Coordination • Test Plan Execution • Defect Tracking &amp; Root Cause Analysis • Regression Testing • Jira &amp; Confluence • Service Desk Incident Triage</w:t>
      </w:r>
    </w:p>
    <w:p>
      <w:pPr>
        <w:spacing w:before="0" w:after="15" w:line="240" w:lineRule="auto"/>
      </w:pPr>
      <w:r>
        <w:rPr>
          <w:b/>
          <w:color w:val="17365D"/>
          <w:sz w:val="18"/>
        </w:rPr>
        <w:t xml:space="preserve">Enterprise Platforms &amp; Governance: </w:t>
      </w:r>
      <w:r>
        <w:rPr>
          <w:color w:val="1F1F1F"/>
          <w:sz w:val="18"/>
        </w:rPr>
        <w:t xml:space="preserve">SAP S/4HANA (FBMS) • Unison PRISM • Remedy ITSM • Government Contract Systems • Standard Operating Procedures (SOPs) • Change Management • Federal Procurement Compliance • NIST Standards</w:t>
      </w:r>
    </w:p>
    <w:p>
      <w:pPr>
        <w:spacing w:before="0" w:after="15" w:line="240" w:lineRule="auto"/>
      </w:pPr>
      <w:r>
        <w:rPr>
          <w:b/>
          <w:color w:val="17365D"/>
          <w:sz w:val="18"/>
        </w:rPr>
        <w:t xml:space="preserve">Analytical Tools &amp; Scripting: </w:t>
      </w:r>
      <w:r>
        <w:rPr>
          <w:color w:val="1F1F1F"/>
          <w:sz w:val="18"/>
        </w:rPr>
        <w:t xml:space="preserve">Python • pandas &amp; NumPy • Excel Advanced Modeling &amp; Pivot Tables • Power BI &amp; Tableau Reporting • JSON &amp; XML Data Interchange • REST API Verification</w:t>
      </w:r>
    </w:p>
    <w:sectPr>
      <w:pgSz w:w="12240" w:h="15840"/>
      <w:pgMar w:top="720" w:right="893" w:bottom="720" w:left="893"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0"/>
        <w:color w:val="1F1F1F"/>
      </w:rPr>
    </w:rPrDefault>
  </w:docDefaults>
</w:styles>
</file>

<file path=word/_rels/document.xml.rels><?xml version="1.0" encoding="UTF-8" standalone="yes"?>
<Relationships xmlns="http://schemas.openxmlformats.org/package/2006/relationships">
  <Relationship Id="rIdHyperlink1" Type="http://schemas.openxmlformats.org/officeDocument/2006/relationships/hyperlink" Target="https://www.linkedin.com/in/ebenezer-rolston/" TargetMode="External"/>
  <Relationship Id="rIdHyperlink2" Type="http://schemas.openxmlformats.org/officeDocument/2006/relationships/hyperlink" Target="https://github.com/EbeDenver" TargetMode="External"/>
  <Relationship Id="rIdHyperlink3" Type="http://schemas.openxmlformats.org/officeDocument/2006/relationships/hyperlink" Target="https://portal.aiguardiansllc.us/" TargetMode="External"/>
</Relationships>
</file>