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Identity Analytics • Customer Data Integration • Business Management System</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Enterprise Data and Identity Analytics professional and Solutions Architect with 20+ years of experience in customer data integration, enterprise systems modernization, business analytics, and data transformation. Brings 11 years of solutions engineering and architecture experience at Acxiom Corporation, developing real-time identity scoring, application verification, and customer data solutions for major financial services and insurance clients. Led enterprise data integration, reconciliation, and operational analytics initiatives supporting the U.S. Department of the Interior, including data conversions for 4 agencies.</w:t>
      </w:r>
    </w:p>
    <w:p>
      <w:pPr>
        <w:spacing w:before="0" w:after="40" w:line="240" w:lineRule="auto"/>
      </w:pPr>
      <w:r>
        <w:rPr>
          <w:color w:val="1F1F1F"/>
          <w:sz w:val="18"/>
        </w:rPr>
        <w:t xml:space="preserve">Combines this experience with recent hands-on AI engineering and workflow development, supported by a University of Denver graduate certificate in AI Strategy and a Harvard SEAS executive certificate in LLMs and Agentic AI.</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Customer Data Integration &amp; Entity Resolution ▪ Identity Scoring Models &amp; Algorithmic Scoring ▪ Identity Data Quality, Profiling &amp; Hygiene ▪ Identity Match Reach &amp; Quality KPIs ▪ Agentic AI Harness Engineering ▪ State Machine &amp; Multi-Agent Architecture ▪ Non-Bypassable RiskGate &amp; Fail-Closed Guardrails ▪ Model Context Protocol Integration ▪ Trajectory Observability &amp; Evaluation ▪ Relational Schema Design ▪ Advanced SQL ▪ Privacy, Regulatory &amp; AI Governance ▪ Python Data Analysis ▪ Enterprise ETL Architecture &amp; Conversion ▪ Automated Validation &amp; Testing ▪ Cross-Functional Stakeholder Relationship ▪ User Enablement &amp; Mentorship</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and deployed the AI Trading Copilot decision-support platform, featuring private Google Cloud Run FastAPI microservices, private Cloud SQL PostgreSQL 15 with 21 domain tables, Alembic migrations, Secret Manager, and VPC networking.</w:t>
      </w:r>
    </w:p>
    <w:p>
      <w:pPr>
        <w:spacing w:before="0" w:after="20" w:line="240" w:lineRule="auto"/>
        <w:ind w:left="360" w:hanging="180"/>
      </w:pPr>
      <w:r>
        <w:rPr>
          <w:color w:val="1F1F1F"/>
          <w:sz w:val="20"/>
        </w:rPr>
        <w:t xml:space="preserve">• </w:t>
      </w:r>
      <w:r>
        <w:rPr>
          <w:color w:val="1F1F1F"/>
          <w:sz w:val="18"/>
        </w:rPr>
        <w:t xml:space="preserve">Built a 5-agent LangGraph supervisor system with specialist agents for chart range, levels, fundamentals with SEC EDGAR XBRL, news catalysts, and thesis scenarios utilizing typed Pydantic v2 contracts.</w:t>
      </w:r>
    </w:p>
    <w:p>
      <w:pPr>
        <w:spacing w:before="0" w:after="20" w:line="240" w:lineRule="auto"/>
        <w:ind w:left="360" w:hanging="180"/>
      </w:pPr>
      <w:r>
        <w:rPr>
          <w:color w:val="1F1F1F"/>
          <w:sz w:val="20"/>
        </w:rPr>
        <w:t xml:space="preserve">• </w:t>
      </w:r>
      <w:r>
        <w:rPr>
          <w:color w:val="1F1F1F"/>
          <w:sz w:val="18"/>
        </w:rPr>
        <w:t xml:space="preserve">Implemented a deterministic fail-closed RiskGate emitting PASS, WARN, or BLOCK, preventing recommendation generation and blocking human approvals on integrity breaches.</w:t>
      </w:r>
    </w:p>
    <w:p>
      <w:pPr>
        <w:spacing w:before="0" w:after="20" w:line="240" w:lineRule="auto"/>
        <w:ind w:left="360" w:hanging="180"/>
      </w:pPr>
      <w:r>
        <w:rPr>
          <w:color w:val="1F1F1F"/>
          <w:sz w:val="20"/>
        </w:rPr>
        <w:t xml:space="preserve">• </w:t>
      </w:r>
      <w:r>
        <w:rPr>
          <w:color w:val="1F1F1F"/>
          <w:sz w:val="18"/>
        </w:rPr>
        <w:t xml:space="preserve">Engineered machine-verifiable EvidenceLedger tracking citations by evidence ID, source provider, content hash, and fixed as-of timestamps to eliminate lookahead bias.</w:t>
      </w:r>
    </w:p>
    <w:p>
      <w:pPr>
        <w:spacing w:before="0" w:after="20" w:line="240" w:lineRule="auto"/>
        <w:ind w:left="360" w:hanging="180"/>
      </w:pPr>
      <w:r>
        <w:rPr>
          <w:color w:val="1F1F1F"/>
          <w:sz w:val="20"/>
        </w:rPr>
        <w:t xml:space="preserve">• </w:t>
      </w:r>
      <w:r>
        <w:rPr>
          <w:color w:val="1F1F1F"/>
          <w:sz w:val="18"/>
        </w:rPr>
        <w:t xml:space="preserve">Engineered autonomous multi-agent workflows and custom TOML and markdown agents using OpenAI Codex and Google Antigravity with runtime hooks, Plan Mode trade-off analysis, and automated build–test–fix loops.</w:t>
      </w:r>
    </w:p>
    <w:p>
      <w:pPr>
        <w:spacing w:before="0" w:after="20" w:line="240" w:lineRule="auto"/>
        <w:ind w:left="360" w:hanging="180"/>
      </w:pPr>
      <w:r>
        <w:rPr>
          <w:color w:val="1F1F1F"/>
          <w:sz w:val="20"/>
        </w:rPr>
        <w:t xml:space="preserve">• </w:t>
      </w:r>
      <w:r>
        <w:rPr>
          <w:color w:val="1F1F1F"/>
          <w:sz w:val="18"/>
        </w:rPr>
        <w:t xml:space="preserve">Integrated enterprise toolchains including Figma, GitHub, Atlassian, and Google Workspace via Model Context Protocol servers and plugins; standardized agent context via AGENTS.md guidelines and reusable skill lifecycles.</w:t>
      </w:r>
    </w:p>
    <w:p>
      <w:pPr>
        <w:spacing w:before="0" w:after="20" w:line="240" w:lineRule="auto"/>
        <w:ind w:left="360" w:hanging="180"/>
      </w:pPr>
      <w:r>
        <w:rPr>
          <w:color w:val="1F1F1F"/>
          <w:sz w:val="20"/>
        </w:rPr>
        <w:t xml:space="preserve">• </w:t>
      </w:r>
      <w:r>
        <w:rPr>
          <w:color w:val="1F1F1F"/>
          <w:sz w:val="18"/>
        </w:rPr>
        <w:t xml:space="preserve">Formulated enterprise prompting methodologies covering Outcome, Constraints, Scope, and Definition of Done, establishing evidence-based verification gates that replace agent self-assessment with deterministic testing.</w:t>
      </w:r>
    </w:p>
    <w:p>
      <w:pPr>
        <w:spacing w:before="0" w:after="20" w:line="240" w:lineRule="auto"/>
        <w:ind w:left="360" w:hanging="180"/>
      </w:pPr>
      <w:r>
        <w:rPr>
          <w:color w:val="1F1F1F"/>
          <w:sz w:val="20"/>
        </w:rPr>
        <w:t xml:space="preserve">• </w:t>
      </w:r>
      <w:r>
        <w:rPr>
          <w:color w:val="1F1F1F"/>
          <w:sz w:val="18"/>
        </w:rPr>
        <w:t xml:space="preserve">Designed AI transformation toolkits, AI maturity assessments, use-case prioritization canvases, and governance guardrails based on NIST AI RMF 1.0 and ISO 42001.</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Analyst for Acquisition Directorate enterprise financial system, managing business workflow, assuring data integrity, and ensuring business &amp; functional reliability in federal environment.</w:t>
      </w:r>
    </w:p>
    <w:p>
      <w:pPr>
        <w:spacing w:before="0" w:after="20" w:line="240" w:lineRule="auto"/>
        <w:ind w:left="360" w:hanging="180"/>
      </w:pPr>
      <w:r>
        <w:rPr>
          <w:color w:val="1F1F1F"/>
          <w:sz w:val="20"/>
        </w:rPr>
        <w:t xml:space="preserve">• </w:t>
      </w:r>
      <w:r>
        <w:rPr>
          <w:color w:val="1F1F1F"/>
          <w:sz w:val="18"/>
        </w:rPr>
        <w:t xml:space="preserve">Resolved client &amp; platform vendor defects and contractual billing disputes.</w:t>
      </w:r>
    </w:p>
    <w:p>
      <w:pPr>
        <w:spacing w:before="0" w:after="20" w:line="240" w:lineRule="auto"/>
        <w:ind w:left="360" w:hanging="180"/>
      </w:pPr>
      <w:r>
        <w:rPr>
          <w:color w:val="1F1F1F"/>
          <w:sz w:val="20"/>
        </w:rPr>
        <w:t xml:space="preserve">• </w:t>
      </w:r>
      <w:r>
        <w:rPr>
          <w:color w:val="1F1F1F"/>
          <w:sz w:val="18"/>
        </w:rPr>
        <w:t xml:space="preserve">Triaged enterprise system defects.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Department ETL Architect for the FBMS enterprise data conversion for 4 agencies, migrating, cleansing, and validating bureau databases into SAP S/4.</w:t>
      </w:r>
    </w:p>
    <w:p>
      <w:pPr>
        <w:spacing w:before="0" w:after="20" w:line="240" w:lineRule="auto"/>
        <w:ind w:left="360" w:hanging="180"/>
      </w:pPr>
      <w:r>
        <w:rPr>
          <w:color w:val="1F1F1F"/>
          <w:sz w:val="20"/>
        </w:rPr>
        <w:t xml:space="preserve">• </w:t>
      </w:r>
      <w:r>
        <w:rPr>
          <w:color w:val="1F1F1F"/>
          <w:sz w:val="18"/>
        </w:rPr>
        <w:t xml:space="preserve">Served as Senior escalation lead handling enterprise incidents and Aviation payment negotiations.</w:t>
      </w:r>
    </w:p>
    <w:p>
      <w:pPr>
        <w:spacing w:before="0" w:after="20" w:line="240" w:lineRule="auto"/>
        <w:ind w:left="360" w:hanging="180"/>
      </w:pPr>
      <w:r>
        <w:rPr>
          <w:color w:val="1F1F1F"/>
          <w:sz w:val="20"/>
        </w:rPr>
        <w:t xml:space="preserve">• </w:t>
      </w:r>
      <w:r>
        <w:rPr>
          <w:color w:val="1F1F1F"/>
          <w:sz w:val="18"/>
        </w:rPr>
        <w:t xml:space="preserve">Member of DOI Special Interest Group - FPDS reporting, Exemption &amp; security compliance.</w:t>
      </w:r>
    </w:p>
    <w:p>
      <w:pPr>
        <w:spacing w:before="0" w:after="20" w:line="240" w:lineRule="auto"/>
        <w:ind w:left="360" w:hanging="180"/>
      </w:pPr>
      <w:r>
        <w:rPr>
          <w:color w:val="1F1F1F"/>
          <w:sz w:val="20"/>
        </w:rPr>
        <w:t xml:space="preserve">• </w:t>
      </w:r>
      <w:r>
        <w:rPr>
          <w:color w:val="1F1F1F"/>
          <w:sz w:val="18"/>
        </w:rPr>
        <w:t xml:space="preserve">Implemented framework to resolve financial discrepancies through realignment process.</w:t>
      </w:r>
    </w:p>
    <w:p>
      <w:pPr>
        <w:spacing w:before="0" w:after="20" w:line="240" w:lineRule="auto"/>
        <w:ind w:left="360" w:hanging="180"/>
      </w:pPr>
      <w:r>
        <w:rPr>
          <w:color w:val="1F1F1F"/>
          <w:sz w:val="20"/>
        </w:rPr>
        <w:t xml:space="preserve">• </w:t>
      </w:r>
      <w:r>
        <w:rPr>
          <w:color w:val="1F1F1F"/>
          <w:sz w:val="18"/>
        </w:rPr>
        <w:t xml:space="preserve">PRISM system administration, role-based access, procurement compliance, schema updates.</w:t>
      </w:r>
    </w:p>
    <w:p>
      <w:pPr>
        <w:spacing w:before="0" w:after="20" w:line="240" w:lineRule="auto"/>
        <w:ind w:left="360" w:hanging="180"/>
      </w:pPr>
      <w:r>
        <w:rPr>
          <w:color w:val="1F1F1F"/>
          <w:sz w:val="20"/>
        </w:rPr>
        <w:t xml:space="preserve">• </w:t>
      </w:r>
      <w:r>
        <w:rPr>
          <w:color w:val="1F1F1F"/>
          <w:sz w:val="18"/>
        </w:rPr>
        <w:t xml:space="preserve">Delivered agency-wide cohort enablement and client system training.</w:t>
      </w:r>
    </w:p>
    <w:p>
      <w:pPr>
        <w:spacing w:before="0" w:after="20" w:line="240" w:lineRule="auto"/>
        <w:ind w:left="360" w:hanging="180"/>
      </w:pPr>
      <w:r>
        <w:rPr>
          <w:color w:val="1F1F1F"/>
          <w:sz w:val="20"/>
        </w:rPr>
        <w:t xml:space="preserve">• </w:t>
      </w:r>
      <w:r>
        <w:rPr>
          <w:color w:val="1F1F1F"/>
          <w:sz w:val="18"/>
        </w:rPr>
        <w:t xml:space="preserve">Performed DataAct Audit Analytics.</w:t>
      </w:r>
    </w:p>
    <w:p>
      <w:pPr>
        <w:spacing w:before="40" w:after="10" w:line="240" w:lineRule="auto"/>
      </w:pPr>
      <w:r>
        <w:rPr>
          <w:b/>
          <w:color w:val="17365D"/>
          <w:sz w:val="18"/>
        </w:rPr>
        <w:t xml:space="preserve">Solutions Developer / Architect | Acxiom Corporation </w:t>
      </w:r>
      <w:r>
        <w:rPr>
          <w:i/>
          <w:color w:val="4A4A4A"/>
          <w:sz w:val="17"/>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20"/>
        </w:rPr>
        <w:t xml:space="preserve">• </w:t>
      </w:r>
      <w:r>
        <w:rPr>
          <w:color w:val="1F1F1F"/>
          <w:sz w:val="18"/>
        </w:rPr>
        <w:t xml:space="preserve">Worked with commercial enterprise clients including Citibank, GE Money, ChoicePoint, and Allstate deploying customer verification pipelines and marketing data solutions.</w:t>
      </w:r>
    </w:p>
    <w:p>
      <w:pPr>
        <w:spacing w:before="0" w:after="20" w:line="240" w:lineRule="auto"/>
        <w:ind w:left="360" w:hanging="180"/>
      </w:pPr>
      <w:r>
        <w:rPr>
          <w:color w:val="1F1F1F"/>
          <w:sz w:val="20"/>
        </w:rPr>
        <w:t xml:space="preserve">• </w:t>
      </w:r>
      <w:r>
        <w:rPr>
          <w:color w:val="1F1F1F"/>
          <w:sz w:val="18"/>
        </w:rPr>
        <w:t xml:space="preserve">Built and supported customer recognition, precision marketing, and cross-selling solutions.</w:t>
      </w:r>
    </w:p>
    <w:p>
      <w:pPr>
        <w:spacing w:before="0" w:after="20" w:line="240" w:lineRule="auto"/>
        <w:ind w:left="360" w:hanging="180"/>
      </w:pPr>
      <w:r>
        <w:rPr>
          <w:color w:val="1F1F1F"/>
          <w:sz w:val="20"/>
        </w:rPr>
        <w:t xml:space="preserve">• </w:t>
      </w:r>
      <w:r>
        <w:rPr>
          <w:color w:val="1F1F1F"/>
          <w:sz w:val="18"/>
        </w:rPr>
        <w:t xml:space="preserve">Built Citibank's online identity scoring model, real-time scoring algorithms for fraud prevention.</w:t>
      </w:r>
    </w:p>
    <w:p>
      <w:pPr>
        <w:spacing w:before="0" w:after="20" w:line="240" w:lineRule="auto"/>
        <w:ind w:left="360" w:hanging="180"/>
      </w:pPr>
      <w:r>
        <w:rPr>
          <w:color w:val="1F1F1F"/>
          <w:sz w:val="20"/>
        </w:rPr>
        <w:t xml:space="preserve">• </w:t>
      </w:r>
      <w:r>
        <w:rPr>
          <w:color w:val="1F1F1F"/>
          <w:sz w:val="18"/>
        </w:rPr>
        <w:t xml:space="preserve">Provided business and technical support for Application Verification System, SLA compliance.</w:t>
      </w:r>
    </w:p>
    <w:p>
      <w:pPr>
        <w:spacing w:before="0" w:after="20" w:line="240" w:lineRule="auto"/>
        <w:ind w:left="360" w:hanging="180"/>
      </w:pPr>
      <w:r>
        <w:rPr>
          <w:color w:val="1F1F1F"/>
          <w:sz w:val="20"/>
        </w:rPr>
        <w:t xml:space="preserve">• </w:t>
      </w:r>
      <w:r>
        <w:rPr>
          <w:color w:val="1F1F1F"/>
          <w:sz w:val="18"/>
        </w:rPr>
        <w:t xml:space="preserve">SME on the Software Methodology Board, established SDLC governance.</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AI Guardians LLC • As-Built Production Architecture</w:t>
      </w:r>
    </w:p>
    <w:p>
      <w:pPr>
        <w:spacing w:before="0" w:after="20" w:line="240" w:lineRule="auto"/>
        <w:ind w:left="360" w:hanging="180"/>
      </w:pPr>
      <w:r>
        <w:rPr>
          <w:color w:val="1F1F1F"/>
          <w:sz w:val="20"/>
        </w:rPr>
        <w:t xml:space="preserve">• </w:t>
      </w:r>
      <w:r>
        <w:rPr>
          <w:color w:val="1F1F1F"/>
          <w:sz w:val="18"/>
        </w:rPr>
        <w:t xml:space="preserve">Architected multi-horizon U.S. equities decision-support platform deployed on private Google Cloud Run FastAPI microservice trading-copilot-api and private Cloud SQL PostgreSQL 15 with 21 domain tables and Alembic migrations.</w:t>
      </w:r>
    </w:p>
    <w:p>
      <w:pPr>
        <w:spacing w:before="0" w:after="20" w:line="240" w:lineRule="auto"/>
        <w:ind w:left="360" w:hanging="180"/>
      </w:pPr>
      <w:r>
        <w:rPr>
          <w:color w:val="1F1F1F"/>
          <w:sz w:val="20"/>
        </w:rPr>
        <w:t xml:space="preserve">• </w:t>
      </w:r>
      <w:r>
        <w:rPr>
          <w:color w:val="1F1F1F"/>
          <w:sz w:val="18"/>
        </w:rPr>
        <w:t xml:space="preserve">Engineered 5 specialist agents — ChartRange, Levels, Fundamentals with SEC EDGAR XBRL, News Catalyst, and Thesis Scenario — orchestrated via LangGraph supervisor with typed Pydantic v2 contracts.</w:t>
      </w:r>
    </w:p>
    <w:p>
      <w:pPr>
        <w:spacing w:before="0" w:after="20" w:line="240" w:lineRule="auto"/>
        <w:ind w:left="360" w:hanging="180"/>
      </w:pPr>
      <w:r>
        <w:rPr>
          <w:color w:val="1F1F1F"/>
          <w:sz w:val="20"/>
        </w:rPr>
        <w:t xml:space="preserve">• </w:t>
      </w:r>
      <w:r>
        <w:rPr>
          <w:color w:val="1F1F1F"/>
          <w:sz w:val="18"/>
        </w:rPr>
        <w:t xml:space="preserve">Enforced strict separation between deterministic calculation — RSI, ATR, moving averages, pivots, financial ratios, MFE and MAE in Python — and LLM structured interpretation, backed by a non-bypassable fail-closed RiskGate emitting PASS, WARN, or BLOCK.</w:t>
      </w:r>
    </w:p>
    <w:p>
      <w:pPr>
        <w:spacing w:before="0" w:after="20" w:line="240" w:lineRule="auto"/>
        <w:ind w:left="360" w:hanging="180"/>
      </w:pPr>
      <w:r>
        <w:rPr>
          <w:color w:val="1F1F1F"/>
          <w:sz w:val="20"/>
        </w:rPr>
        <w:t xml:space="preserve">• </w:t>
      </w:r>
      <w:r>
        <w:rPr>
          <w:color w:val="1F1F1F"/>
          <w:sz w:val="18"/>
        </w:rPr>
        <w:t xml:space="preserve">Built machine-verifiable EvidenceLedger tracking citations by evidence ID, source provider, content hash, and fixed point-in-time as-of boundaries to guarantee anti-lookahead temporal integrity.</w:t>
      </w:r>
    </w:p>
    <w:p>
      <w:pPr>
        <w:spacing w:before="0" w:after="20" w:line="240" w:lineRule="auto"/>
        <w:ind w:left="360" w:hanging="180"/>
      </w:pPr>
      <w:r>
        <w:rPr>
          <w:color w:val="1F1F1F"/>
          <w:sz w:val="20"/>
        </w:rPr>
        <w:t xml:space="preserve">• </w:t>
      </w:r>
      <w:r>
        <w:rPr>
          <w:color w:val="1F1F1F"/>
          <w:sz w:val="18"/>
        </w:rPr>
        <w:t xml:space="preserve">Established immutable Prediction Ledger separating forecast-time PredictionRecord from post-run PredictionOutcome, validated across 722 automated tests with zero network leaks.</w:t>
      </w:r>
    </w:p>
    <w:p>
      <w:pPr>
        <w:spacing w:before="4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20" w:line="240" w:lineRule="auto"/>
        <w:ind w:left="360" w:hanging="180"/>
      </w:pPr>
      <w:r>
        <w:rPr>
          <w:color w:val="1F1F1F"/>
          <w:sz w:val="20"/>
        </w:rPr>
        <w:t xml:space="preserve">• </w:t>
      </w:r>
      <w:r>
        <w:rPr>
          <w:color w:val="1F1F1F"/>
          <w:sz w:val="18"/>
        </w:rPr>
        <w:t xml:space="preserve">Engineered full-stack regulatory decision application linking Lovable frontend, Google Cloud Run, Python/FastAPI backend.</w:t>
      </w:r>
    </w:p>
    <w:p>
      <w:pPr>
        <w:spacing w:before="4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20" w:line="240" w:lineRule="auto"/>
        <w:ind w:left="360" w:hanging="180"/>
      </w:pPr>
      <w:r>
        <w:rPr>
          <w:color w:val="1F1F1F"/>
          <w:sz w:val="20"/>
        </w:rPr>
        <w:t xml:space="preserve">• </w:t>
      </w:r>
      <w:r>
        <w:rPr>
          <w:color w:val="1F1F1F"/>
          <w:sz w:val="18"/>
        </w:rPr>
        <w:t xml:space="preserve">Architected Explainable AI incident severity scoring and compliance taxonomy mapping based on NIST AI RMF 1.0.</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StateGraph &amp; OCR parsing.</w:t>
      </w:r>
    </w:p>
    <w:p>
      <w:pPr>
        <w:spacing w:before="0" w:after="20" w:line="240" w:lineRule="auto"/>
        <w:ind w:left="360" w:hanging="180"/>
      </w:pPr>
      <w:r>
        <w:rPr>
          <w:color w:val="1F1F1F"/>
          <w:sz w:val="20"/>
        </w:rPr>
        <w:t xml:space="preserve">• </w:t>
      </w:r>
      <w:r>
        <w:rPr>
          <w:color w:val="1F1F1F"/>
          <w:sz w:val="18"/>
        </w:rPr>
        <w:t xml:space="preserve">Enforced Pydantic contract validation, confidence scoring, and semantic retrieval.</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20" w:line="240" w:lineRule="auto"/>
        <w:ind w:left="360" w:hanging="180"/>
      </w:pPr>
      <w:r>
        <w:rPr>
          <w:color w:val="1F1F1F"/>
          <w:sz w:val="20"/>
        </w:rPr>
        <w:t xml:space="preserve">• </w:t>
      </w:r>
      <w:r>
        <w:rPr>
          <w:b/>
          <w:color w:val="1F1F1F"/>
          <w:sz w:val="18"/>
        </w:rPr>
        <w:t xml:space="preserve">OpenAI Codex:</w:t>
      </w:r>
      <w:r>
        <w:rPr>
          <w:color w:val="1F1F1F"/>
          <w:sz w:val="18"/>
        </w:rPr>
        <w:t xml:space="preserve"> Agent Orchestration • MCP Integration • Context Engineering — Completed 7 intensive bootcamps across Fundamentals, Codex 201, and Codex 301 covering Plan Mode, parallel worktrees, runtime hooks, and automated build–test–fix loops</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 Harness Engineering • Multi-Agent Topologies • Trajectory Observability • Financial Multimodal RAG</w:t>
      </w:r>
    </w:p>
    <w:p>
      <w:pPr>
        <w:spacing w:before="0" w:after="20" w:line="240" w:lineRule="auto"/>
        <w:ind w:left="360" w:hanging="180"/>
      </w:pPr>
      <w:r>
        <w:rPr>
          <w:color w:val="1F1F1F"/>
          <w:sz w:val="20"/>
        </w:rPr>
        <w:t xml:space="preserve">• </w:t>
      </w:r>
      <w:r>
        <w:rPr>
          <w:b/>
          <w:color w:val="1F1F1F"/>
          <w:sz w:val="18"/>
        </w:rPr>
        <w:t xml:space="preserve">UC Berkeley Extension:</w:t>
      </w:r>
      <w:r>
        <w:rPr>
          <w:color w:val="1F1F1F"/>
          <w:sz w:val="18"/>
        </w:rPr>
        <w:t xml:space="preserve"> Machine Learning and Deep Learning with Spark</w:t>
      </w:r>
    </w:p>
    <w:p>
      <w:pPr>
        <w:spacing w:before="0" w:after="20" w:line="240" w:lineRule="auto"/>
        <w:ind w:left="360" w:hanging="180"/>
      </w:pPr>
      <w:r>
        <w:rPr>
          <w:color w:val="1F1F1F"/>
          <w:sz w:val="20"/>
        </w:rPr>
        <w:t xml:space="preserve">• </w:t>
      </w:r>
      <w:r>
        <w:rPr>
          <w:b/>
          <w:color w:val="1F1F1F"/>
          <w:sz w:val="18"/>
        </w:rPr>
        <w:t xml:space="preserve">University of Denver:</w:t>
      </w:r>
      <w:r>
        <w:rPr>
          <w:color w:val="1F1F1F"/>
          <w:sz w:val="18"/>
        </w:rPr>
        <w:t xml:space="preserve"> Graduate Certificate, AI Strategy &amp; Applications in IT</w:t>
      </w:r>
    </w:p>
    <w:p>
      <w:pPr>
        <w:spacing w:before="0" w:after="20" w:line="240" w:lineRule="auto"/>
        <w:ind w:left="360" w:hanging="180"/>
      </w:pPr>
      <w:r>
        <w:rPr>
          <w:color w:val="1F1F1F"/>
          <w:sz w:val="20"/>
        </w:rPr>
        <w:t xml:space="preserve">• </w:t>
      </w:r>
      <w:r>
        <w:rPr>
          <w:b/>
          <w:color w:val="1F1F1F"/>
          <w:sz w:val="18"/>
        </w:rPr>
        <w:t xml:space="preserve">Stanford Continuing Studies:</w:t>
      </w:r>
      <w:r>
        <w:rPr>
          <w:color w:val="1F1F1F"/>
          <w:sz w:val="18"/>
        </w:rPr>
        <w:t xml:space="preserve"> Data Analysis with Python • Modern AI Architectures • AI Accountability</w:t>
      </w:r>
    </w:p>
    <w:p>
      <w:pPr>
        <w:spacing w:before="0" w:after="20" w:line="240" w:lineRule="auto"/>
        <w:ind w:left="360" w:hanging="180"/>
      </w:pPr>
      <w:r>
        <w:rPr>
          <w:color w:val="1F1F1F"/>
          <w:sz w:val="20"/>
        </w:rPr>
        <w:t xml:space="preserve">• </w:t>
      </w:r>
      <w:r>
        <w:rPr>
          <w:b/>
          <w:color w:val="1F1F1F"/>
          <w:sz w:val="18"/>
        </w:rPr>
        <w:t xml:space="preserve">Harvard John A. Paulson SEAS:</w:t>
      </w:r>
      <w:r>
        <w:rPr>
          <w:color w:val="1F1F1F"/>
          <w:sz w:val="18"/>
        </w:rPr>
        <w:t xml:space="preserve"> Executive Certificate — LLMs: Transformer to Agentic AI</w:t>
      </w:r>
    </w:p>
    <w:p>
      <w:pPr>
        <w:spacing w:before="0" w:after="20" w:line="240" w:lineRule="auto"/>
        <w:ind w:left="360" w:hanging="180"/>
      </w:pPr>
      <w:r>
        <w:rPr>
          <w:color w:val="1F1F1F"/>
          <w:sz w:val="20"/>
        </w:rPr>
        <w:t xml:space="preserve">• </w:t>
      </w:r>
      <w:r>
        <w:rPr>
          <w:b/>
          <w:color w:val="1F1F1F"/>
          <w:sz w:val="18"/>
        </w:rPr>
        <w:t xml:space="preserve">St. Joseph's College:</w:t>
      </w:r>
      <w:r>
        <w:rPr>
          <w:color w:val="1F1F1F"/>
          <w:sz w:val="18"/>
        </w:rPr>
        <w:t xml:space="preserve"> M.S. &amp; B.S., Computer Science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0" w:after="20" w:line="240" w:lineRule="auto"/>
        <w:ind w:left="360" w:hanging="180"/>
      </w:pPr>
      <w:r>
        <w:rPr>
          <w:color w:val="1F1F1F"/>
          <w:sz w:val="20"/>
        </w:rPr>
        <w:t xml:space="preserve">• </w:t>
      </w:r>
      <w:r>
        <w:rPr>
          <w:b/>
          <w:color w:val="1F1F1F"/>
          <w:sz w:val="18"/>
        </w:rPr>
        <w:t xml:space="preserve">AI Tech and Privacy Academy:</w:t>
      </w:r>
      <w:r>
        <w:rPr>
          <w:color w:val="1F1F1F"/>
          <w:sz w:val="18"/>
        </w:rPr>
        <w:t xml:space="preserve"> 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Identity Analytics &amp; Predictive Systems:</w:t>
      </w:r>
      <w:r>
        <w:rPr>
          <w:color w:val="1F1F1F"/>
          <w:sz w:val="18"/>
        </w:rPr>
        <w:t xml:space="preserve"> Customer Data Integration • Identity Resolution &amp; Entity Matching • Real-Time Identity Scoring • Algorithmic Scoring Models • Predictive Cross-Sell Models • Deep Learning &amp; Neural Networks</w:t>
      </w:r>
    </w:p>
    <w:p>
      <w:pPr>
        <w:spacing w:before="0" w:after="20" w:line="240" w:lineRule="auto"/>
        <w:ind w:left="360" w:hanging="180"/>
      </w:pPr>
      <w:r>
        <w:rPr>
          <w:color w:val="1F1F1F"/>
          <w:sz w:val="20"/>
        </w:rPr>
        <w:t xml:space="preserve">• </w:t>
      </w:r>
      <w:r>
        <w:rPr>
          <w:b/>
          <w:color w:val="1F1F1F"/>
          <w:sz w:val="18"/>
        </w:rPr>
        <w:t xml:space="preserve">Data Engineering &amp; Big Data Platforms:</w:t>
      </w:r>
      <w:r>
        <w:rPr>
          <w:color w:val="1F1F1F"/>
          <w:sz w:val="18"/>
        </w:rPr>
        <w:t xml:space="preserve"> Acxiom Hive, AbiliTec Links, Apache Spark • Oracle, PostgreSQL 15 on Cloud SQL, SQL Server • Alembic Migrations • 21 Domain Tables • ETL/ELT Architectures • Relational Data Modeling • Schema Normalization • Data Quality, Deduplication &amp; Profiling</w:t>
      </w:r>
    </w:p>
    <w:p>
      <w:pPr>
        <w:spacing w:before="0" w:after="20" w:line="240" w:lineRule="auto"/>
        <w:ind w:left="360" w:hanging="180"/>
      </w:pPr>
      <w:r>
        <w:rPr>
          <w:color w:val="1F1F1F"/>
          <w:sz w:val="20"/>
        </w:rPr>
        <w:t xml:space="preserve">• </w:t>
      </w:r>
      <w:r>
        <w:rPr>
          <w:b/>
          <w:color w:val="1F1F1F"/>
          <w:sz w:val="18"/>
        </w:rPr>
        <w:t xml:space="preserve">Software Engineering &amp; Analytical Workflows:</w:t>
      </w:r>
      <w:r>
        <w:rPr>
          <w:color w:val="1F1F1F"/>
          <w:sz w:val="18"/>
        </w:rPr>
        <w:t xml:space="preserve"> Python • pandas &amp; NumPy • FastAPI &amp; Uvicorn • OpenAPI 3.1 • Pydantic v2 • SQLAlchemy • RESTful API Contracts • JSON Schema • pytest • GitHub • Cloud Deployment on Private Google Cloud Run, Cloud SQL, Secret Manager, VPC Peering, and Vercel</w:t>
      </w:r>
    </w:p>
    <w:p>
      <w:pPr>
        <w:spacing w:before="0" w:after="20" w:line="240" w:lineRule="auto"/>
        <w:ind w:left="360" w:hanging="180"/>
      </w:pPr>
      <w:r>
        <w:rPr>
          <w:color w:val="1F1F1F"/>
          <w:sz w:val="20"/>
        </w:rPr>
        <w:t xml:space="preserve">• </w:t>
      </w:r>
      <w:r>
        <w:rPr>
          <w:b/>
          <w:color w:val="1F1F1F"/>
          <w:sz w:val="18"/>
        </w:rPr>
        <w:t xml:space="preserve">Enterprise Platforms, Privacy &amp; Governance:</w:t>
      </w:r>
      <w:r>
        <w:rPr>
          <w:color w:val="1F1F1F"/>
          <w:sz w:val="18"/>
        </w:rPr>
        <w:t xml:space="preserve"> SAP S/4HANA Federal Business Management System • Unison PRISM • Remedy • Multi-Tenant SafeReusePolicy • 5-Tier Data Isolation • NIST AI RMF 1.0 • ISO 42001</w:t>
      </w:r>
    </w:p>
    <w:p>
      <w:pPr>
        <w:spacing w:before="0" w:after="20" w:line="240" w:lineRule="auto"/>
        <w:ind w:left="360" w:hanging="180"/>
      </w:pPr>
      <w:r>
        <w:rPr>
          <w:color w:val="1F1F1F"/>
          <w:sz w:val="20"/>
        </w:rPr>
        <w:t xml:space="preserve">• </w:t>
      </w:r>
      <w:r>
        <w:rPr>
          <w:b/>
          <w:color w:val="1F1F1F"/>
          <w:sz w:val="18"/>
        </w:rPr>
        <w:t xml:space="preserve">AI Engineering &amp; LLMOps:</w:t>
      </w:r>
      <w:r>
        <w:rPr>
          <w:color w:val="1F1F1F"/>
          <w:sz w:val="18"/>
        </w:rPr>
        <w:t xml:space="preserve"> Agentic Harness Engineering • LangGraph StateGraph FSM and HSM • Non-Bypassable RiskGate • Fail-Closed Architecture • EvidenceLedger Provenance Tracking • Anti-Lookahead Temporal Integrity • Prediction Ledger with PredictionRecord and PredictionOutcome • MFE and MAE Tracking • ModelRouter &amp; BaseLLMProvider • FinBERT Financial Sentiment Classification • Multi-Agent Topologies — Hierarchical, Peer-to-Peer, Blackboard, Swarm • Model Context Protocol MCP • OpenAI Codex CLI, IDE, Desktop App • Google Antigravity • Context Engineering with AGENTS.md • Trajectory Observability &amp; Tracing via OpenTelemetry, Langfuse, LangSmith • Policy Optimization via GRPO, GSPO, RULER • Sandboxing &amp; Security with Docker, E2B, OWASP Top 15 Agent Vulnerabilities • Financial Multimodal RAG &amp; Table Footing Verification • Foundation Time-Series Models — Chronos, TimesFM, PatchTST, AnomalyBERT • Inference Physics with vLLM PagedAttention and SGLang RadixAttention • Structured Output Modes — Strict JSON Schema, Instructor Pydantic • Bounded Execution Guardrails • Qdrant Vector Search</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