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MAXIMUS INTERVIEW PREPARATION PACKAGE</w:t>
      </w:r>
    </w:p>
    <w:p>
      <w:pPr>
        <w:spacing w:before="0" w:after="200"/>
      </w:pPr>
      <w:r>
        <w:rPr>
          <w:rFonts w:ascii="Calibri" w:hAnsi="Calibri"/>
          <w:color w:val="5A6978"/>
          <w:sz w:val="19"/>
        </w:rPr>
        <w:t>Sr Analyst - Business Analysis • Requisition 43690 • Candidate: Ebenezer J. Rolston</w:t>
      </w:r>
    </w:p>
    <w:p>
      <w:pPr>
        <w:spacing w:before="0" w:after="80"/>
      </w:pPr>
      <w:r>
        <w:rPr>
          <w:rFonts w:ascii="Calibri" w:hAnsi="Calibri"/>
          <w:color w:val="28323C"/>
          <w:sz w:val="19"/>
        </w:rPr>
      </w:r>
      <w:r>
        <w:rPr>
          <w:rFonts w:ascii="Calibri" w:hAnsi="Calibri"/>
          <w:b/>
          <w:color w:val="28323C"/>
          <w:sz w:val="19"/>
        </w:rPr>
        <w:t>Sr Analyst - Business Analysis | Requisition 43690</w:t>
      </w:r>
      <w:r>
        <w:rPr>
          <w:rFonts w:ascii="Calibri" w:hAnsi="Calibri"/>
          <w:color w:val="28323C"/>
          <w:sz w:val="19"/>
        </w:rPr>
        <w:t xml:space="preserve">  </w:t>
      </w:r>
    </w:p>
    <w:p>
      <w:pPr>
        <w:spacing w:before="0" w:after="80"/>
      </w:pPr>
      <w:r>
        <w:rPr>
          <w:rFonts w:ascii="Calibri" w:hAnsi="Calibri"/>
          <w:color w:val="28323C"/>
          <w:sz w:val="19"/>
        </w:rPr>
        <w:t>Candidate: Ebenezer J. Rolston (Denver, CO) • Prepared for Maximus Search Committee &amp; Engineering Leadership</w:t>
      </w:r>
    </w:p>
    <w:p>
      <w:pPr>
        <w:spacing w:before="200" w:after="80"/>
      </w:pPr>
      <w:r>
        <w:rPr>
          <w:rFonts w:ascii="Calibri" w:hAnsi="Calibri"/>
          <w:b/>
          <w:color w:val="17365D"/>
          <w:sz w:val="23"/>
        </w:rPr>
        <w:t>1. Maximus Organizational Profile &amp; Strategic Context</w:t>
      </w:r>
    </w:p>
    <w:p>
      <w:pPr>
        <w:spacing w:before="0" w:after="80"/>
      </w:pPr>
      <w:r>
        <w:rPr>
          <w:rFonts w:ascii="Calibri" w:hAnsi="Calibri"/>
          <w:color w:val="28323C"/>
          <w:sz w:val="19"/>
        </w:rPr>
        <w:t>Maximus is a leading partner to government agencies worldwide, managing essential health and human services programs (Medicaid, Medicare, CHIP, child support, eligibility determinations, and federal benefit administration). The company's technology initiatives focus on digital modernization, legacy system replacement, automated customer service, and cloud migration to deliver efficient, citizen-centric government services.</w:t>
      </w:r>
    </w:p>
    <w:p>
      <w:pPr>
        <w:spacing w:before="120" w:after="40"/>
      </w:pPr>
      <w:r>
        <w:rPr>
          <w:rFonts w:ascii="Calibri" w:hAnsi="Calibri"/>
          <w:b/>
          <w:color w:val="28466E"/>
          <w:sz w:val="21"/>
        </w:rPr>
        <w:t>Core Strategic Focus for the Sr Analyst - Business Analysis:</w:t>
      </w:r>
    </w:p>
    <w:p>
      <w:pPr>
        <w:pStyle w:val="ListBullet"/>
        <w:spacing w:before="0" w:after="40"/>
      </w:pPr>
      <w:r>
        <w:rPr>
          <w:rFonts w:ascii="Calibri" w:hAnsi="Calibri"/>
          <w:color w:val="28323C"/>
          <w:sz w:val="19"/>
        </w:rPr>
      </w:r>
      <w:r>
        <w:rPr>
          <w:rFonts w:ascii="Calibri" w:hAnsi="Calibri"/>
          <w:b/>
          <w:color w:val="28323C"/>
          <w:sz w:val="19"/>
        </w:rPr>
        <w:t>Translating Government Policy into Agile Stories:</w:t>
      </w:r>
      <w:r>
        <w:rPr>
          <w:rFonts w:ascii="Calibri" w:hAnsi="Calibri"/>
          <w:color w:val="28323C"/>
          <w:sz w:val="19"/>
        </w:rPr>
        <w:t xml:space="preserve"> Government requirements are often written in legal, statutory, or policy language. The Sr. BA must deconstruct these complex requirements into clear, testable user stories with unambiguous acceptance criteria and schema-governed validation bounds.</w:t>
      </w:r>
    </w:p>
    <w:p>
      <w:pPr>
        <w:pStyle w:val="ListBullet"/>
        <w:spacing w:before="0" w:after="40"/>
      </w:pPr>
      <w:r>
        <w:rPr>
          <w:rFonts w:ascii="Calibri" w:hAnsi="Calibri"/>
          <w:color w:val="28323C"/>
          <w:sz w:val="19"/>
        </w:rPr>
      </w:r>
      <w:r>
        <w:rPr>
          <w:rFonts w:ascii="Calibri" w:hAnsi="Calibri"/>
          <w:b/>
          <w:color w:val="28323C"/>
          <w:sz w:val="19"/>
        </w:rPr>
        <w:t>Relational Data Integrity (MS SQL Server):</w:t>
      </w:r>
      <w:r>
        <w:rPr>
          <w:rFonts w:ascii="Calibri" w:hAnsi="Calibri"/>
          <w:color w:val="28323C"/>
          <w:sz w:val="19"/>
        </w:rPr>
        <w:t xml:space="preserve"> System modifications frequently touch underlying relational schemas, state reporting interfaces, and federal audit trails. The BA must write SQL queries to validate data models, extract reports, and verify pre/post-change consistency using automated reconciliation scripts.</w:t>
      </w:r>
    </w:p>
    <w:p>
      <w:pPr>
        <w:pStyle w:val="ListBullet"/>
        <w:spacing w:before="0" w:after="40"/>
      </w:pPr>
      <w:r>
        <w:rPr>
          <w:rFonts w:ascii="Calibri" w:hAnsi="Calibri"/>
          <w:color w:val="28323C"/>
          <w:sz w:val="19"/>
        </w:rPr>
      </w:r>
      <w:r>
        <w:rPr>
          <w:rFonts w:ascii="Calibri" w:hAnsi="Calibri"/>
          <w:b/>
          <w:color w:val="28323C"/>
          <w:sz w:val="19"/>
        </w:rPr>
        <w:t>Defect Resolution &amp; Production Stability:</w:t>
      </w:r>
      <w:r>
        <w:rPr>
          <w:rFonts w:ascii="Calibri" w:hAnsi="Calibri"/>
          <w:color w:val="28323C"/>
          <w:sz w:val="19"/>
        </w:rPr>
        <w:t xml:space="preserve"> Balancing active development of new product features with day-to-day operational support, researching ambiguous defects, and collaborating with developers and QA to resolve tickets before release.</w:t>
      </w:r>
    </w:p>
    <w:p>
      <w:pPr>
        <w:pStyle w:val="ListBullet"/>
        <w:spacing w:before="0" w:after="40"/>
      </w:pPr>
      <w:r>
        <w:rPr>
          <w:rFonts w:ascii="Calibri" w:hAnsi="Calibri"/>
          <w:color w:val="28323C"/>
          <w:sz w:val="19"/>
        </w:rPr>
      </w:r>
      <w:r>
        <w:rPr>
          <w:rFonts w:ascii="Calibri" w:hAnsi="Calibri"/>
          <w:b/>
          <w:color w:val="28323C"/>
          <w:sz w:val="19"/>
        </w:rPr>
        <w:t>Remote Collaboration &amp; Independent Ownership:</w:t>
      </w:r>
      <w:r>
        <w:rPr>
          <w:rFonts w:ascii="Calibri" w:hAnsi="Calibri"/>
          <w:color w:val="28323C"/>
          <w:sz w:val="19"/>
        </w:rPr>
        <w:t xml:space="preserve"> Operating as an autonomous, self-directed team member in a fully remote environment, driving cross-functional alignment across project managers, developers, and government clients.</w:t>
      </w:r>
    </w:p>
    <w:p>
      <w:pPr>
        <w:spacing w:before="200" w:after="80"/>
      </w:pPr>
      <w:r>
        <w:rPr>
          <w:rFonts w:ascii="Calibri" w:hAnsi="Calibri"/>
          <w:b/>
          <w:color w:val="17365D"/>
          <w:sz w:val="23"/>
        </w:rPr>
        <w:t>2. 30-60-90 Day Strategic Onboarding Charter</w:t>
      </w:r>
    </w:p>
    <w:p>
      <w:pPr>
        <w:spacing w:before="120" w:after="40"/>
      </w:pPr>
      <w:r>
        <w:rPr>
          <w:rFonts w:ascii="Calibri" w:hAnsi="Calibri"/>
          <w:b/>
          <w:color w:val="28466E"/>
          <w:sz w:val="21"/>
        </w:rPr>
        <w:t>Days 1–30: Deep Dive, System Discovery &amp; Baseline Understanding</w:t>
      </w:r>
    </w:p>
    <w:p>
      <w:pPr>
        <w:pStyle w:val="ListBullet"/>
        <w:spacing w:before="0" w:after="40"/>
      </w:pPr>
      <w:r>
        <w:rPr>
          <w:rFonts w:ascii="Calibri" w:hAnsi="Calibri"/>
          <w:color w:val="28323C"/>
          <w:sz w:val="19"/>
        </w:rPr>
      </w:r>
      <w:r>
        <w:rPr>
          <w:rFonts w:ascii="Calibri" w:hAnsi="Calibri"/>
          <w:b/>
          <w:color w:val="28323C"/>
          <w:sz w:val="19"/>
        </w:rPr>
        <w:t>Immerse in Program Architecture:</w:t>
      </w:r>
      <w:r>
        <w:rPr>
          <w:rFonts w:ascii="Calibri" w:hAnsi="Calibri"/>
          <w:color w:val="28323C"/>
          <w:sz w:val="19"/>
        </w:rPr>
        <w:t xml:space="preserve"> Review existing system documentation, process flow diagrams, and functional architecture for assigned Maximus health/government platforms.</w:t>
      </w:r>
    </w:p>
    <w:p>
      <w:pPr>
        <w:pStyle w:val="ListBullet"/>
        <w:spacing w:before="0" w:after="40"/>
      </w:pPr>
      <w:r>
        <w:rPr>
          <w:rFonts w:ascii="Calibri" w:hAnsi="Calibri"/>
          <w:color w:val="28323C"/>
          <w:sz w:val="19"/>
        </w:rPr>
      </w:r>
      <w:r>
        <w:rPr>
          <w:rFonts w:ascii="Calibri" w:hAnsi="Calibri"/>
          <w:b/>
          <w:color w:val="28323C"/>
          <w:sz w:val="19"/>
        </w:rPr>
        <w:t>Audit Relational Schemas &amp; Databases:</w:t>
      </w:r>
      <w:r>
        <w:rPr>
          <w:rFonts w:ascii="Calibri" w:hAnsi="Calibri"/>
          <w:color w:val="28323C"/>
          <w:sz w:val="19"/>
        </w:rPr>
        <w:t xml:space="preserve"> Familiarize with core MS SQL Server tables, stored procedures, data extraction scripts, and reporting mechanisms.</w:t>
      </w:r>
    </w:p>
    <w:p>
      <w:pPr>
        <w:pStyle w:val="ListBullet"/>
        <w:spacing w:before="0" w:after="40"/>
      </w:pPr>
      <w:r>
        <w:rPr>
          <w:rFonts w:ascii="Calibri" w:hAnsi="Calibri"/>
          <w:color w:val="28323C"/>
          <w:sz w:val="19"/>
        </w:rPr>
      </w:r>
      <w:r>
        <w:rPr>
          <w:rFonts w:ascii="Calibri" w:hAnsi="Calibri"/>
          <w:b/>
          <w:color w:val="28323C"/>
          <w:sz w:val="19"/>
        </w:rPr>
        <w:t>Establish Cross-Functional Relationships:</w:t>
      </w:r>
      <w:r>
        <w:rPr>
          <w:rFonts w:ascii="Calibri" w:hAnsi="Calibri"/>
          <w:color w:val="28323C"/>
          <w:sz w:val="19"/>
        </w:rPr>
        <w:t xml:space="preserve"> Connect with project managers, development leads, QA analysts, and business stakeholders to understand current sprint cadences and immediate pain points.</w:t>
      </w:r>
    </w:p>
    <w:p>
      <w:pPr>
        <w:pStyle w:val="ListBullet"/>
        <w:spacing w:before="0" w:after="40"/>
      </w:pPr>
      <w:r>
        <w:rPr>
          <w:rFonts w:ascii="Calibri" w:hAnsi="Calibri"/>
          <w:color w:val="28323C"/>
          <w:sz w:val="19"/>
        </w:rPr>
      </w:r>
      <w:r>
        <w:rPr>
          <w:rFonts w:ascii="Calibri" w:hAnsi="Calibri"/>
          <w:b/>
          <w:color w:val="28323C"/>
          <w:sz w:val="19"/>
        </w:rPr>
        <w:t>Shadow Defect Triage:</w:t>
      </w:r>
      <w:r>
        <w:rPr>
          <w:rFonts w:ascii="Calibri" w:hAnsi="Calibri"/>
          <w:color w:val="28323C"/>
          <w:sz w:val="19"/>
        </w:rPr>
        <w:t xml:space="preserve"> Observe production support workflows and defect tracking in Jira to understand common operational failure modes.</w:t>
      </w:r>
    </w:p>
    <w:p>
      <w:pPr>
        <w:spacing w:before="120" w:after="40"/>
      </w:pPr>
      <w:r>
        <w:rPr>
          <w:rFonts w:ascii="Calibri" w:hAnsi="Calibri"/>
          <w:b/>
          <w:color w:val="28466E"/>
          <w:sz w:val="21"/>
        </w:rPr>
        <w:t>Days 31–60: Lead Requirements Discovery &amp; Drive Test Execution</w:t>
      </w:r>
    </w:p>
    <w:p>
      <w:pPr>
        <w:pStyle w:val="ListBullet"/>
        <w:spacing w:before="0" w:after="40"/>
      </w:pPr>
      <w:r>
        <w:rPr>
          <w:rFonts w:ascii="Calibri" w:hAnsi="Calibri"/>
          <w:color w:val="28323C"/>
          <w:sz w:val="19"/>
        </w:rPr>
      </w:r>
      <w:r>
        <w:rPr>
          <w:rFonts w:ascii="Calibri" w:hAnsi="Calibri"/>
          <w:b/>
          <w:color w:val="28323C"/>
          <w:sz w:val="19"/>
        </w:rPr>
        <w:t>Take Ownership of Feature Requirements:</w:t>
      </w:r>
      <w:r>
        <w:rPr>
          <w:rFonts w:ascii="Calibri" w:hAnsi="Calibri"/>
          <w:color w:val="28323C"/>
          <w:sz w:val="19"/>
        </w:rPr>
        <w:t xml:space="preserve"> Lead requirements discovery sessions with stakeholders, producing comprehensive user stories, process flows, and acceptance criteria.</w:t>
      </w:r>
    </w:p>
    <w:p>
      <w:pPr>
        <w:pStyle w:val="ListBullet"/>
        <w:spacing w:before="0" w:after="40"/>
      </w:pPr>
      <w:r>
        <w:rPr>
          <w:rFonts w:ascii="Calibri" w:hAnsi="Calibri"/>
          <w:color w:val="28323C"/>
          <w:sz w:val="19"/>
        </w:rPr>
      </w:r>
      <w:r>
        <w:rPr>
          <w:rFonts w:ascii="Calibri" w:hAnsi="Calibri"/>
          <w:b/>
          <w:color w:val="28323C"/>
          <w:sz w:val="19"/>
        </w:rPr>
        <w:t>Develop Functional Test Cases:</w:t>
      </w:r>
      <w:r>
        <w:rPr>
          <w:rFonts w:ascii="Calibri" w:hAnsi="Calibri"/>
          <w:color w:val="28323C"/>
          <w:sz w:val="19"/>
        </w:rPr>
        <w:t xml:space="preserve"> Author detailed test cases mapped to business requirements; execute testing in staging environments to validate software releases using deterministic verification gates.</w:t>
      </w:r>
    </w:p>
    <w:p>
      <w:pPr>
        <w:pStyle w:val="ListBullet"/>
        <w:spacing w:before="0" w:after="40"/>
      </w:pPr>
      <w:r>
        <w:rPr>
          <w:rFonts w:ascii="Calibri" w:hAnsi="Calibri"/>
          <w:color w:val="28323C"/>
          <w:sz w:val="19"/>
        </w:rPr>
      </w:r>
      <w:r>
        <w:rPr>
          <w:rFonts w:ascii="Calibri" w:hAnsi="Calibri"/>
          <w:b/>
          <w:color w:val="28323C"/>
          <w:sz w:val="19"/>
        </w:rPr>
        <w:t>Support SQL Data Validation:</w:t>
      </w:r>
      <w:r>
        <w:rPr>
          <w:rFonts w:ascii="Calibri" w:hAnsi="Calibri"/>
          <w:color w:val="28323C"/>
          <w:sz w:val="19"/>
        </w:rPr>
        <w:t xml:space="preserve"> Write SQL queries in MS SQL Server to validate data transformations, audit trail completeness, and report outputs.</w:t>
      </w:r>
    </w:p>
    <w:p>
      <w:pPr>
        <w:pStyle w:val="ListBullet"/>
        <w:spacing w:before="0" w:after="40"/>
      </w:pPr>
      <w:r>
        <w:rPr>
          <w:rFonts w:ascii="Calibri" w:hAnsi="Calibri"/>
          <w:color w:val="28323C"/>
          <w:sz w:val="19"/>
        </w:rPr>
      </w:r>
      <w:r>
        <w:rPr>
          <w:rFonts w:ascii="Calibri" w:hAnsi="Calibri"/>
          <w:b/>
          <w:color w:val="28323C"/>
          <w:sz w:val="19"/>
        </w:rPr>
        <w:t>Partner with Developers on Defect Remediation:</w:t>
      </w:r>
      <w:r>
        <w:rPr>
          <w:rFonts w:ascii="Calibri" w:hAnsi="Calibri"/>
          <w:color w:val="28323C"/>
          <w:sz w:val="19"/>
        </w:rPr>
        <w:t xml:space="preserve"> Actively assist engineering in reproducing ambiguous bugs and clarifying expected business outcomes.</w:t>
      </w:r>
    </w:p>
    <w:p>
      <w:pPr>
        <w:spacing w:before="120" w:after="40"/>
      </w:pPr>
      <w:r>
        <w:rPr>
          <w:rFonts w:ascii="Calibri" w:hAnsi="Calibri"/>
          <w:b/>
          <w:color w:val="28466E"/>
          <w:sz w:val="21"/>
        </w:rPr>
        <w:t>Days 61–90: Optimize Processes, Eliminate Defect Patterns &amp; Mentor</w:t>
      </w:r>
    </w:p>
    <w:p>
      <w:pPr>
        <w:pStyle w:val="ListBullet"/>
        <w:spacing w:before="0" w:after="40"/>
      </w:pPr>
      <w:r>
        <w:rPr>
          <w:rFonts w:ascii="Calibri" w:hAnsi="Calibri"/>
          <w:color w:val="28323C"/>
          <w:sz w:val="19"/>
        </w:rPr>
      </w:r>
      <w:r>
        <w:rPr>
          <w:rFonts w:ascii="Calibri" w:hAnsi="Calibri"/>
          <w:b/>
          <w:color w:val="28323C"/>
          <w:sz w:val="19"/>
        </w:rPr>
        <w:t>Institutionalize Best Practices:</w:t>
      </w:r>
      <w:r>
        <w:rPr>
          <w:rFonts w:ascii="Calibri" w:hAnsi="Calibri"/>
          <w:color w:val="28323C"/>
          <w:sz w:val="19"/>
        </w:rPr>
        <w:t xml:space="preserve"> Establish standardized requirements templates, acceptance criteria checklists, and traceability documentation to accelerate development cycles.</w:t>
      </w:r>
    </w:p>
    <w:p>
      <w:pPr>
        <w:pStyle w:val="ListBullet"/>
        <w:spacing w:before="0" w:after="40"/>
      </w:pPr>
      <w:r>
        <w:rPr>
          <w:rFonts w:ascii="Calibri" w:hAnsi="Calibri"/>
          <w:color w:val="28323C"/>
          <w:sz w:val="19"/>
        </w:rPr>
      </w:r>
      <w:r>
        <w:rPr>
          <w:rFonts w:ascii="Calibri" w:hAnsi="Calibri"/>
          <w:b/>
          <w:color w:val="28323C"/>
          <w:sz w:val="19"/>
        </w:rPr>
        <w:t>Implement Automated Reconciliation Checks:</w:t>
      </w:r>
      <w:r>
        <w:rPr>
          <w:rFonts w:ascii="Calibri" w:hAnsi="Calibri"/>
          <w:color w:val="28323C"/>
          <w:sz w:val="19"/>
        </w:rPr>
        <w:t xml:space="preserve"> Introduce proactive SQL-based data verification scripts to catch data discrepancies before they reach production.</w:t>
      </w:r>
    </w:p>
    <w:p>
      <w:pPr>
        <w:pStyle w:val="ListBullet"/>
        <w:spacing w:before="0" w:after="40"/>
      </w:pPr>
      <w:r>
        <w:rPr>
          <w:rFonts w:ascii="Calibri" w:hAnsi="Calibri"/>
          <w:color w:val="28323C"/>
          <w:sz w:val="19"/>
        </w:rPr>
      </w:r>
      <w:r>
        <w:rPr>
          <w:rFonts w:ascii="Calibri" w:hAnsi="Calibri"/>
          <w:b/>
          <w:color w:val="28323C"/>
          <w:sz w:val="19"/>
        </w:rPr>
        <w:t>Author Standard Operating Procedures (SOPs):</w:t>
      </w:r>
      <w:r>
        <w:rPr>
          <w:rFonts w:ascii="Calibri" w:hAnsi="Calibri"/>
          <w:color w:val="28323C"/>
          <w:sz w:val="19"/>
        </w:rPr>
        <w:t xml:space="preserve"> Document critical operational workflows and system configurations, enabling smooth knowledge transfer across the team.</w:t>
      </w:r>
    </w:p>
    <w:p>
      <w:pPr>
        <w:pStyle w:val="ListBullet"/>
        <w:spacing w:before="0" w:after="40"/>
      </w:pPr>
      <w:r>
        <w:rPr>
          <w:rFonts w:ascii="Calibri" w:hAnsi="Calibri"/>
          <w:color w:val="28323C"/>
          <w:sz w:val="19"/>
        </w:rPr>
      </w:r>
      <w:r>
        <w:rPr>
          <w:rFonts w:ascii="Calibri" w:hAnsi="Calibri"/>
          <w:b/>
          <w:color w:val="28323C"/>
          <w:sz w:val="19"/>
        </w:rPr>
        <w:t>Drive Client &amp; Stakeholder Confidence:</w:t>
      </w:r>
      <w:r>
        <w:rPr>
          <w:rFonts w:ascii="Calibri" w:hAnsi="Calibri"/>
          <w:color w:val="28323C"/>
          <w:sz w:val="19"/>
        </w:rPr>
        <w:t xml:space="preserve"> Serve as a trusted advisor to senior management and government client partners, communicating status, risks, and mitigations with clarity.</w:t>
      </w:r>
    </w:p>
    <w:p>
      <w:pPr>
        <w:spacing w:before="200" w:after="80"/>
      </w:pPr>
      <w:r>
        <w:rPr>
          <w:rFonts w:ascii="Calibri" w:hAnsi="Calibri"/>
          <w:b/>
          <w:color w:val="17365D"/>
          <w:sz w:val="23"/>
        </w:rPr>
        <w:t>3. High-Probability Behavioral &amp; Technical Scenarios (STAR Format)</w:t>
      </w:r>
    </w:p>
    <w:p>
      <w:pPr>
        <w:spacing w:before="120" w:after="40"/>
      </w:pPr>
      <w:r>
        <w:rPr>
          <w:rFonts w:ascii="Calibri" w:hAnsi="Calibri"/>
          <w:b/>
          <w:color w:val="28466E"/>
          <w:sz w:val="21"/>
        </w:rPr>
        <w:t>Scenario 1: Translating Ambiguous Stakeholder Needs into Precise Technical Requirements</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Maximus emphasizes the ability to translate industry and client needs into language understood by developers for high-efficiency system development.</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During the Department of the Interior FBMS enterprise conversion, federal bureau stakeholders submitted contradictory and vaguely defined data migration requirements for legacy procurement databases.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As Department ETL Architect and Analyst Lead, I had to synthesize ambiguous policy statements into precise, auditable source-to-target mapping specifications and engineering requirements.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organized structured discovery workshops with bureau program managers. I developed visual process flow diagrams (BPMN) and user stories with explicit "Given-When-Then" acceptance criteria. For every data entity, I codified validation rules, data typing, and nullability constraints in a centralized traceability matrix, establishing clear input/output contracts.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Eliminated rework across development sprints, achieved 100% stakeholder sign-off prior to coding, and enabled successful migration across 4 agencies, earning the DOI Award for Excellence.</w:t>
      </w:r>
    </w:p>
    <w:p>
      <w:pPr>
        <w:spacing w:before="120" w:after="40"/>
      </w:pPr>
      <w:r>
        <w:rPr>
          <w:rFonts w:ascii="Calibri" w:hAnsi="Calibri"/>
          <w:b/>
          <w:color w:val="28466E"/>
          <w:sz w:val="21"/>
        </w:rPr>
        <w:t>Scenario 2: Troubleshooting Complex Data Discrepancies in MS SQL Server</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The job description requires working with relational database systems (MS SQL Server), ensuring data accuracy, and validating reporting methods.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 critical production reporting pipeline began displaying revenue and contract discrepancies between transactional billing tables and monthly executive financial summaries.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Identify the root cause of the data discrepancy, correct the reporting pipeline, and ensure ongoing data accuracy.</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wrote advanced SQL diagnostic queries in MS SQL Server, analyzing table joins, index execution plans, and data lineage. I discovered that a recently introduced vendor status code was being excluded by an outdated `INNER JOIN` filter in a legacy stored procedure. I updated the query logic, implemented automated validation test scripts comparing pre- and post-aggregation totals, and updated documentation.</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Restored 100% financial reporting fidelity within 24 hours, documented the root cause, and added automated regression checks to prevent similar join errors in future releases.</w:t>
      </w:r>
    </w:p>
    <w:p>
      <w:pPr>
        <w:spacing w:before="120" w:after="40"/>
      </w:pPr>
      <w:r>
        <w:rPr>
          <w:rFonts w:ascii="Calibri" w:hAnsi="Calibri"/>
          <w:b/>
          <w:color w:val="28466E"/>
          <w:sz w:val="21"/>
        </w:rPr>
        <w:t>Scenario 3: Managing Conflicting Priorities Between Business Users and Development</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Maximus BAs act as the vital bridge between operations, business leadership, and engineering teams.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During an enterprise system release, business stakeholders demanded five urgent functional changes two weeks before code freeze, while engineering warned that adding scope would delay the production deployment date.</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Mediate between business leadership and the development team to protect system quality and project timelines while satisfying core user needs.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conducted an impact and feasibility analysis for each requested change. I facilitated a prioritization meeting using MoSCoW categorization (Must have, Should have, Could have, Won't have). I demonstrated that two of the five items directly resolved regulatory compliance risks, while the other three were UI preferences that could be delivered in the following sprint.</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Both business leadership and engineering agreed to the phased roadmap; the compliance-critical features were delivered on schedule with zero defect regressions, and the remaining features shipped on time in the next release.</w:t>
      </w:r>
    </w:p>
    <w:p>
      <w:pPr>
        <w:spacing w:before="120" w:after="40"/>
      </w:pPr>
      <w:r>
        <w:rPr>
          <w:rFonts w:ascii="Calibri" w:hAnsi="Calibri"/>
          <w:b/>
          <w:color w:val="28466E"/>
          <w:sz w:val="21"/>
        </w:rPr>
        <w:t>Scenario 4: Designing and Executing Functional Test Cases to Validate System Changes</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Maximus requires developing functional test cases and executing them to validate that system changes meet expected outcomes defined in business requirements.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 major system update introduced automated workflow approval routing for high-value government procurement actions.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Ensure comprehensive test coverage to prevent unauthorized approval bypasses or routing dead-ends before deployment.</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developed a comprehensive functional test matrix covering positive, negative, and boundary test scenarios. I authored detailed test cases in Jira/Confluence detailing preconditions, input datasets, expected state transitions, and audit log entries. I executed test runs across test environments, logged defect tickets with exact reproduction steps, and verified fixes with developers using deterministic verification gates.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Identified and remediated 8 critical workflow defects during UAT before production deployment, ensuring zero operational disruption upon go-live.</w:t>
      </w:r>
    </w:p>
    <w:p>
      <w:pPr>
        <w:spacing w:before="120" w:after="40"/>
      </w:pPr>
      <w:r>
        <w:rPr>
          <w:rFonts w:ascii="Calibri" w:hAnsi="Calibri"/>
          <w:b/>
          <w:color w:val="28466E"/>
          <w:sz w:val="21"/>
        </w:rPr>
        <w:t>Scenario 5: Root-Cause Incident Resolution Under High-Stakes Operational Pressure</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Maximus seeks analysts who develop solutions to complex problems and provide production support to operations.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DOI, I served 14 years as Senior Escalation Lead, handling 5 to 10 mission-critical enterprise incidents daily across procurement, vendor, and finance platforms.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Rapidly triage production outages and data corruption incidents while preventing recurring operational failures.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Rather than applying superficial data overrides, I instituted a formal root-cause analysis framework. When an incident occurred, I traced the transaction through application logs and SQL database states, identified the upstream defect, coordinated an emergency patch with engineering, and drafted standard operating procedures (SOPs) to guide support staff.</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Reduced recurring enterprise incident volume by 35% across my tenure, maintained 99.8% platform data integrity, and received two special recognition awards from federal leadership.</w:t>
      </w:r>
    </w:p>
    <w:p>
      <w:pPr>
        <w:spacing w:before="120" w:after="40"/>
      </w:pPr>
      <w:r>
        <w:rPr>
          <w:rFonts w:ascii="Calibri" w:hAnsi="Calibri"/>
          <w:b/>
          <w:color w:val="28466E"/>
          <w:sz w:val="21"/>
        </w:rPr>
        <w:t>Scenario 6: Documenting Best Practices and Delivering User Training</w:t>
      </w:r>
    </w:p>
    <w:p>
      <w:pPr>
        <w:pStyle w:val="ListBullet"/>
        <w:spacing w:before="0" w:after="40"/>
      </w:pPr>
      <w:r>
        <w:rPr>
          <w:rFonts w:ascii="Calibri" w:hAnsi="Calibri"/>
          <w:color w:val="28323C"/>
          <w:sz w:val="19"/>
        </w:rPr>
      </w:r>
      <w:r>
        <w:rPr>
          <w:rFonts w:ascii="Calibri" w:hAnsi="Calibri"/>
          <w:b/>
          <w:color w:val="28323C"/>
          <w:sz w:val="19"/>
        </w:rPr>
        <w:t>Context:</w:t>
      </w:r>
      <w:r>
        <w:rPr>
          <w:rFonts w:ascii="Calibri" w:hAnsi="Calibri"/>
          <w:color w:val="28323C"/>
          <w:sz w:val="19"/>
        </w:rPr>
        <w:t xml:space="preserve"> The job posting highlights documentation of best practices, producing high-quality deliverables, and communicating effectively across teams.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Following a major platform upgrade, end users struggled with new interface layouts and data entry validation requirements, leading to high support ticket volume.</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Develop clear user documentation and deliver training to improve system adoption and reduce user error rates.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authored comprehensive Standard Operating Procedures (SOPs), quick-reference job aids, and illustrated user guides. I conducted interactive, hands-on training sessions for over 85 government personnel and contractors, demystifying the new workflows and addressing common data entry pitfalls.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User error rates dropped by over 40% within three weeks, support desk ticket volume normalized, and the SOPs were adopted as the standard training curriculum across the directorate.</w:t>
      </w:r>
    </w:p>
    <w:p>
      <w:pPr>
        <w:spacing w:before="200" w:after="80"/>
      </w:pPr>
      <w:r>
        <w:rPr>
          <w:rFonts w:ascii="Calibri" w:hAnsi="Calibri"/>
          <w:b/>
          <w:color w:val="17365D"/>
          <w:sz w:val="23"/>
        </w:rPr>
        <w:t>4. Strategic Reverse Questions for the Maximus Interview Panel</w:t>
      </w:r>
    </w:p>
    <w:p>
      <w:pPr>
        <w:spacing w:before="120" w:after="40"/>
      </w:pPr>
      <w:r>
        <w:rPr>
          <w:rFonts w:ascii="Calibri" w:hAnsi="Calibri"/>
          <w:b/>
          <w:color w:val="28466E"/>
          <w:sz w:val="21"/>
        </w:rPr>
        <w:t>Questions for the Hiring Manager:</w:t>
      </w:r>
    </w:p>
    <w:p>
      <w:pPr>
        <w:spacing w:before="0" w:after="80"/>
      </w:pPr>
      <w:r>
        <w:rPr>
          <w:rFonts w:ascii="Calibri" w:hAnsi="Calibri"/>
          <w:color w:val="28323C"/>
          <w:sz w:val="19"/>
        </w:rPr>
        <w:t xml:space="preserve">1. </w:t>
      </w:r>
      <w:r>
        <w:rPr>
          <w:rFonts w:ascii="Calibri" w:hAnsi="Calibri"/>
          <w:i/>
          <w:color w:val="28323C"/>
          <w:sz w:val="19"/>
        </w:rPr>
        <w:t>"What are the immediate legislative, regulatory, or client modernization initiatives driving the current workload for this business analysis team?"</w:t>
      </w:r>
      <w:r>
        <w:rPr>
          <w:rFonts w:ascii="Calibri" w:hAnsi="Calibri"/>
          <w:color w:val="28323C"/>
          <w:sz w:val="19"/>
        </w:rPr>
      </w:r>
    </w:p>
    <w:p>
      <w:pPr>
        <w:spacing w:before="0" w:after="80"/>
      </w:pPr>
      <w:r>
        <w:rPr>
          <w:rFonts w:ascii="Calibri" w:hAnsi="Calibri"/>
          <w:color w:val="28323C"/>
          <w:sz w:val="19"/>
        </w:rPr>
        <w:t xml:space="preserve">2. </w:t>
      </w:r>
      <w:r>
        <w:rPr>
          <w:rFonts w:ascii="Calibri" w:hAnsi="Calibri"/>
          <w:i/>
          <w:color w:val="28323C"/>
          <w:sz w:val="19"/>
        </w:rPr>
        <w:t>"How does this team balance long-term system enhancements with day-to-day operational support and defect triage for existing government programs?"</w:t>
      </w:r>
      <w:r>
        <w:rPr>
          <w:rFonts w:ascii="Calibri" w:hAnsi="Calibri"/>
          <w:color w:val="28323C"/>
          <w:sz w:val="19"/>
        </w:rPr>
      </w:r>
    </w:p>
    <w:p>
      <w:pPr>
        <w:spacing w:before="0" w:after="80"/>
      </w:pPr>
      <w:r>
        <w:rPr>
          <w:rFonts w:ascii="Calibri" w:hAnsi="Calibri"/>
          <w:color w:val="28323C"/>
          <w:sz w:val="19"/>
        </w:rPr>
        <w:t xml:space="preserve">3. </w:t>
      </w:r>
      <w:r>
        <w:rPr>
          <w:rFonts w:ascii="Calibri" w:hAnsi="Calibri"/>
          <w:i/>
          <w:color w:val="28323C"/>
          <w:sz w:val="19"/>
        </w:rPr>
        <w:t>"What does success look like for this Sr. Business Analyst in the first 90 days, especially regarding stakeholder satisfaction and delivery velocity?"</w:t>
      </w:r>
      <w:r>
        <w:rPr>
          <w:rFonts w:ascii="Calibri" w:hAnsi="Calibri"/>
          <w:color w:val="28323C"/>
          <w:sz w:val="19"/>
        </w:rPr>
      </w:r>
    </w:p>
    <w:p>
      <w:pPr>
        <w:spacing w:before="120" w:after="40"/>
      </w:pPr>
      <w:r>
        <w:rPr>
          <w:rFonts w:ascii="Calibri" w:hAnsi="Calibri"/>
          <w:b/>
          <w:color w:val="28466E"/>
          <w:sz w:val="21"/>
        </w:rPr>
        <w:t>Questions for the Technical / QA Lead:</w:t>
      </w:r>
    </w:p>
    <w:p>
      <w:pPr>
        <w:spacing w:before="0" w:after="80"/>
      </w:pPr>
      <w:r>
        <w:rPr>
          <w:rFonts w:ascii="Calibri" w:hAnsi="Calibri"/>
          <w:color w:val="28323C"/>
          <w:sz w:val="19"/>
        </w:rPr>
        <w:t xml:space="preserve">4. </w:t>
      </w:r>
      <w:r>
        <w:rPr>
          <w:rFonts w:ascii="Calibri" w:hAnsi="Calibri"/>
          <w:i/>
          <w:color w:val="28323C"/>
          <w:sz w:val="19"/>
        </w:rPr>
        <w:t>"How are requirements typically communicated to developers—are teams using Jira user stories with BDD/Gherkin acceptance criteria, formal BRDs, or hybrid models?"</w:t>
      </w:r>
      <w:r>
        <w:rPr>
          <w:rFonts w:ascii="Calibri" w:hAnsi="Calibri"/>
          <w:color w:val="28323C"/>
          <w:sz w:val="19"/>
        </w:rPr>
      </w:r>
    </w:p>
    <w:p>
      <w:pPr>
        <w:spacing w:before="0" w:after="80"/>
      </w:pPr>
      <w:r>
        <w:rPr>
          <w:rFonts w:ascii="Calibri" w:hAnsi="Calibri"/>
          <w:color w:val="28323C"/>
          <w:sz w:val="19"/>
        </w:rPr>
        <w:t xml:space="preserve">5. </w:t>
      </w:r>
      <w:r>
        <w:rPr>
          <w:rFonts w:ascii="Calibri" w:hAnsi="Calibri"/>
          <w:i/>
          <w:color w:val="28323C"/>
          <w:sz w:val="19"/>
        </w:rPr>
        <w:t>"What role does the Senior BA play in MS SQL Server database validation—do analysts write their own validation scripts and query stored procedures directly in lower environments?"</w:t>
      </w:r>
      <w:r>
        <w:rPr>
          <w:rFonts w:ascii="Calibri" w:hAnsi="Calibri"/>
          <w:color w:val="28323C"/>
          <w:sz w:val="19"/>
        </w:rPr>
      </w:r>
    </w:p>
    <w:p>
      <w:pPr>
        <w:spacing w:before="0" w:after="80"/>
      </w:pPr>
      <w:r>
        <w:rPr>
          <w:rFonts w:ascii="Calibri" w:hAnsi="Calibri"/>
          <w:color w:val="28323C"/>
          <w:sz w:val="19"/>
        </w:rPr>
        <w:t xml:space="preserve">6. </w:t>
      </w:r>
      <w:r>
        <w:rPr>
          <w:rFonts w:ascii="Calibri" w:hAnsi="Calibri"/>
          <w:i/>
          <w:color w:val="28323C"/>
          <w:sz w:val="19"/>
        </w:rPr>
        <w:t>"How are defects discovered during UAT tracked and prioritized, and how closely does the BA partner with QA analysts during regression cycles?"</w:t>
      </w:r>
      <w:r>
        <w:rPr>
          <w:rFonts w:ascii="Calibri" w:hAnsi="Calibri"/>
          <w:color w:val="28323C"/>
          <w:sz w:val="19"/>
        </w:rPr>
      </w:r>
    </w:p>
    <w:p>
      <w:pPr>
        <w:spacing w:before="120" w:after="40"/>
      </w:pPr>
      <w:r>
        <w:rPr>
          <w:rFonts w:ascii="Calibri" w:hAnsi="Calibri"/>
          <w:b/>
          <w:color w:val="28466E"/>
          <w:sz w:val="21"/>
        </w:rPr>
        <w:t>Questions on Team Culture &amp; Growth:</w:t>
      </w:r>
    </w:p>
    <w:p>
      <w:pPr>
        <w:spacing w:before="0" w:after="80"/>
      </w:pPr>
      <w:r>
        <w:rPr>
          <w:rFonts w:ascii="Calibri" w:hAnsi="Calibri"/>
          <w:color w:val="28323C"/>
          <w:sz w:val="19"/>
        </w:rPr>
        <w:t xml:space="preserve">7. </w:t>
      </w:r>
      <w:r>
        <w:rPr>
          <w:rFonts w:ascii="Calibri" w:hAnsi="Calibri"/>
          <w:i/>
          <w:color w:val="28323C"/>
          <w:sz w:val="19"/>
        </w:rPr>
        <w:t>"Given that this is a fully remote position, what tools and communication rhythms (Slack, Teams, daily standups) does the team use to maintain high cohesion and rapid collaboration?"</w:t>
      </w:r>
      <w:r>
        <w:rPr>
          <w:rFonts w:ascii="Calibri" w:hAnsi="Calibri"/>
          <w:color w:val="28323C"/>
          <w:sz w:val="19"/>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