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jc w:val="center"/>
        <w:spacing w:before="0" w:after="20" w:line="240" w:lineRule="auto"/>
      </w:pPr>
      <w:r>
        <w:rPr>
          <w:rFonts w:ascii="Times New Roman" w:hAnsi="Times New Roman"/>
          <w:b/>
          <w:color w:val="17365D"/>
          <w:sz w:val="36"/>
        </w:rPr>
        <w:t xml:space="preserve">Ebenezer J. Rolston</w:t>
      </w:r>
    </w:p>
    <w:p>
      <w:pPr>
        <w:jc w:val="center"/>
        <w:spacing w:before="0" w:after="30" w:line="240" w:lineRule="auto"/>
      </w:pPr>
      <w:r>
        <w:rPr>
          <w:rFonts w:ascii="Times New Roman" w:hAnsi="Times New Roman"/>
          <w:b/>
          <w:color w:val="17365D"/>
          <w:sz w:val="19"/>
        </w:rPr>
        <w:t xml:space="preserve">AI Enablement • AI Coding Agents &amp; MCP • Enterprise Technical Advocacy</w:t>
      </w:r>
    </w:p>
    <w:p>
      <w:pPr>
        <w:jc w:val="center"/>
        <w:spacing w:before="0" w:after="80" w:line="240" w:lineRule="auto"/>
      </w:pPr>
      <w:r>
        <w:rPr>
          <w:color w:val="1F1F1F"/>
          <w:sz w:val="18"/>
        </w:rPr>
        <w:t xml:space="preserve">Denver, CO • eberolston@yahoo.com • 501-307-3237 • </w:t>
      </w:r>
      <w:hyperlink r:id="rIdHyperlink1">
        <w:r>
          <w:rPr>
            <w:b/>
            <w:color w:val="17365D"/>
            <w:sz w:val="18"/>
            <w:u w:val="single"/>
          </w:rPr>
          <w:t xml:space="preserve">LinkedIn</w:t>
        </w:r>
      </w:hyperlink>
      <w:r>
        <w:rPr>
          <w:color w:val="1F1F1F"/>
          <w:sz w:val="18"/>
        </w:rPr>
        <w:t xml:space="preserve"> • </w:t>
      </w:r>
      <w:hyperlink r:id="rIdHyperlink2">
        <w:r>
          <w:rPr>
            <w:b/>
            <w:color w:val="17365D"/>
            <w:sz w:val="18"/>
            <w:u w:val="single"/>
          </w:rPr>
          <w:t xml:space="preserve">GitHub</w:t>
        </w:r>
      </w:hyperlink>
      <w:r>
        <w:rPr>
          <w:color w:val="1F1F1F"/>
          <w:sz w:val="18"/>
        </w:rPr>
        <w:t xml:space="preserve"> • </w:t>
      </w:r>
      <w:hyperlink r:id="rIdHyperlink3">
        <w:r>
          <w:rPr>
            <w:b/>
            <w:color w:val="17365D"/>
            <w:sz w:val="18"/>
            <w:u w:val="single"/>
          </w:rPr>
          <w:t xml:space="preserve">AI Guardians</w:t>
        </w:r>
      </w:hyperlink>
    </w:p>
    <w:p>
      <w:pPr>
        <w:spacing w:before="100" w:after="40" w:line="240" w:lineRule="auto"/>
        <w:pBdr>
          <w:bottom w:val="single" w:sz="6" w:space="4" w:color="17365D"/>
        </w:pBdr>
      </w:pPr>
      <w:r>
        <w:rPr>
          <w:rFonts w:ascii="Times New Roman" w:hAnsi="Times New Roman"/>
          <w:b/>
          <w:color w:val="17365D"/>
          <w:sz w:val="20"/>
        </w:rPr>
        <w:t xml:space="preserve">PROFESSIONAL SUMMARY</w:t>
      </w:r>
    </w:p>
    <w:p>
      <w:pPr>
        <w:spacing w:before="0" w:after="40" w:line="240" w:lineRule="auto"/>
      </w:pPr>
      <w:r>
        <w:rPr>
          <w:color w:val="1F1F1F"/>
          <w:sz w:val="18"/>
        </w:rPr>
        <w:t xml:space="preserve">Technical Communicator and Solutions Architect with 20+ years of enterprise experience turning complex data systems into unified platforms across regulated financial services, insurance, and federal sectors. Brings 11 years at Acxiom Corporation deploying real-time verification and predictive scoring models for major insurance and financial clients, alongside Department-wide federal data modernization. Proven record establishing SDLC standards, training 85+ cohort users, and leading mission-critical technical escalations.</w:t>
      </w:r>
    </w:p>
    <w:p>
      <w:pPr>
        <w:spacing w:before="0" w:after="40" w:line="240" w:lineRule="auto"/>
      </w:pPr>
      <w:r>
        <w:rPr>
          <w:color w:val="1F1F1F"/>
          <w:sz w:val="18"/>
        </w:rPr>
        <w:t xml:space="preserve">Pairs this enterprise foundation with hands-on AI enablement and agentic engineering—fluent in AI coding assistants (OpenAI Codex, Claude Code, Google Antigravity), Model Context Protocol (MCP) tooling, harness engineering architecture, and structured prompting frameworks. Trained in production-grade agent governance including 4-layer harness isolation, bounded execution guardrails, trajectory observability, and OWASP agent security hardening—directly applicable to teaching engineering teams how to build robust, auditable AI systems in an insurance compliance environment. Holds a University of Denver graduate certificate in AI Strategy and a Harvard SEAS executive certificate in LLMs and Agentic AI.</w:t>
      </w:r>
    </w:p>
    <w:p>
      <w:pPr>
        <w:spacing w:before="0" w:after="80" w:line="240" w:lineRule="auto"/>
      </w:pPr>
      <w:r>
        <w:rPr>
          <w:b/>
          <w:i/>
          <w:color w:val="5B9BD5"/>
          <w:sz w:val="18"/>
        </w:rPr>
        <w:t xml:space="preserve">Winner of two Department of Interior Awards</w:t>
      </w:r>
    </w:p>
    <w:p>
      <w:pPr>
        <w:spacing w:before="100" w:after="40" w:line="240" w:lineRule="auto"/>
        <w:pBdr>
          <w:bottom w:val="single" w:sz="6" w:space="4" w:color="17365D"/>
        </w:pBdr>
      </w:pPr>
      <w:r>
        <w:rPr>
          <w:rFonts w:ascii="Times New Roman" w:hAnsi="Times New Roman"/>
          <w:b/>
          <w:color w:val="17365D"/>
          <w:sz w:val="20"/>
        </w:rPr>
        <w:t xml:space="preserve">CORE COMPETENCIES</w:t>
      </w:r>
    </w:p>
    <w:p>
      <w:pPr>
        <w:spacing w:before="0" w:after="100" w:line="240" w:lineRule="auto"/>
      </w:pPr>
      <w:r>
        <w:rPr>
          <w:b/>
          <w:color w:val="1F1F1F"/>
          <w:sz w:val="17"/>
        </w:rPr>
        <w:t xml:space="preserve">▪ AI Enablement &amp; Developer Advocacy ▪ AI Coding Agent Fluency ▪ Model Context Protocol Integration ▪ Agentic Harness Engineering ▪ Trajectory Observability &amp; Evaluation ▪ Prompt Engineering &amp; Specification Frameworks ▪ Bounded Execution &amp; Loop Governance ▪ Technical Office Hours &amp; User Training ▪ Enterprise Toolchain Integration ▪ Multi-Agent Architecture &amp; Topologies ▪ Agent Security &amp; Sandboxing ▪ AI Adoption Metrics &amp; Measurement ▪ Python &amp; REST API Integration ▪ NIST AI RMF &amp; ISO 42001 ▪ Cross-Functional Stakeholder Alignment ▪ Change Management</w:t>
      </w:r>
    </w:p>
    <w:p>
      <w:pPr>
        <w:spacing w:before="100" w:after="40" w:line="240" w:lineRule="auto"/>
        <w:pBdr>
          <w:bottom w:val="single" w:sz="6" w:space="4" w:color="17365D"/>
        </w:pBdr>
      </w:pPr>
      <w:r>
        <w:rPr>
          <w:rFonts w:ascii="Times New Roman" w:hAnsi="Times New Roman"/>
          <w:b/>
          <w:color w:val="17365D"/>
          <w:sz w:val="20"/>
        </w:rPr>
        <w:t xml:space="preserve">PROFESSIONAL EXPERIENCE</w:t>
      </w:r>
    </w:p>
    <w:p>
      <w:pPr>
        <w:spacing w:before="40" w:after="10" w:line="240" w:lineRule="auto"/>
      </w:pPr>
      <w:r>
        <w:rPr>
          <w:b/>
          <w:color w:val="17365D"/>
          <w:sz w:val="18"/>
        </w:rPr>
        <w:t xml:space="preserve">AI Engineering &amp; Enablement | AI Guardians LLC </w:t>
      </w:r>
      <w:r>
        <w:rPr>
          <w:i/>
          <w:color w:val="4A4A4A"/>
          <w:sz w:val="17"/>
        </w:rPr>
        <w:t xml:space="preserve">Denver, CO | Jan 2026–Present</w:t>
      </w:r>
    </w:p>
    <w:p>
      <w:pPr>
        <w:spacing w:before="0" w:after="20" w:line="240" w:lineRule="auto"/>
        <w:ind w:left="360" w:hanging="180"/>
      </w:pPr>
      <w:r>
        <w:rPr>
          <w:color w:val="1F1F1F"/>
          <w:sz w:val="20"/>
        </w:rPr>
        <w:t xml:space="preserve">• </w:t>
      </w:r>
      <w:r>
        <w:rPr>
          <w:color w:val="1F1F1F"/>
          <w:sz w:val="18"/>
        </w:rPr>
        <w:t xml:space="preserve">Engineered autonomous multi-agent workflows and custom TOML/markdown agents using OpenAI Codex and Google Antigravity with runtime hooks, Plan Mode trade-off analysis, and automated build–test–fix loops.</w:t>
      </w:r>
    </w:p>
    <w:p>
      <w:pPr>
        <w:spacing w:before="0" w:after="20" w:line="240" w:lineRule="auto"/>
        <w:ind w:left="360" w:hanging="180"/>
      </w:pPr>
      <w:r>
        <w:rPr>
          <w:color w:val="1F1F1F"/>
          <w:sz w:val="20"/>
        </w:rPr>
        <w:t xml:space="preserve">• </w:t>
      </w:r>
      <w:r>
        <w:rPr>
          <w:color w:val="1F1F1F"/>
          <w:sz w:val="18"/>
        </w:rPr>
        <w:t xml:space="preserve">Integrated enterprise toolchains (Figma, GitHub, Atlassian, Google Workspace) via Model Context Protocol (MCP) servers and plugins; standardized agent context via AGENTS.md and reusable skill lifecycles.</w:t>
      </w:r>
    </w:p>
    <w:p>
      <w:pPr>
        <w:spacing w:before="0" w:after="20" w:line="240" w:lineRule="auto"/>
        <w:ind w:left="360" w:hanging="180"/>
      </w:pPr>
      <w:r>
        <w:rPr>
          <w:color w:val="1F1F1F"/>
          <w:sz w:val="20"/>
        </w:rPr>
        <w:t xml:space="preserve">• </w:t>
      </w:r>
      <w:r>
        <w:rPr>
          <w:color w:val="1F1F1F"/>
          <w:sz w:val="18"/>
        </w:rPr>
        <w:t xml:space="preserve">Formulated enterprise prompting methodologies (Outcome, Constraints, Scope, Definition of Done) and evidence-based verification gates replacing agent self-assessment with deterministic testing.</w:t>
      </w:r>
    </w:p>
    <w:p>
      <w:pPr>
        <w:spacing w:before="0" w:after="20" w:line="240" w:lineRule="auto"/>
        <w:ind w:left="360" w:hanging="180"/>
      </w:pPr>
      <w:r>
        <w:rPr>
          <w:color w:val="1F1F1F"/>
          <w:sz w:val="20"/>
        </w:rPr>
        <w:t xml:space="preserve">• </w:t>
      </w:r>
      <w:r>
        <w:rPr>
          <w:color w:val="1F1F1F"/>
          <w:sz w:val="18"/>
        </w:rPr>
        <w:t xml:space="preserve">Designed AI transformation toolkits, AI maturity assessments, use-case prioritization canvases, and governance guardrails based on NIST AI RMF 1.0 and ISO 42001.</w:t>
      </w:r>
    </w:p>
    <w:p>
      <w:pPr>
        <w:spacing w:before="40" w:after="10" w:line="240" w:lineRule="auto"/>
      </w:pPr>
      <w:r>
        <w:rPr>
          <w:b/>
          <w:color w:val="17365D"/>
          <w:sz w:val="18"/>
        </w:rPr>
        <w:t xml:space="preserve">Program Analyst, Acquisition Directorate | U.S. Department of the Interior </w:t>
      </w:r>
      <w:r>
        <w:rPr>
          <w:i/>
          <w:color w:val="4A4A4A"/>
          <w:sz w:val="17"/>
        </w:rPr>
        <w:t xml:space="preserve">Denver, CO | Jan–Sep 2025</w:t>
      </w:r>
    </w:p>
    <w:p>
      <w:pPr>
        <w:spacing w:before="0" w:after="20" w:line="240" w:lineRule="auto"/>
      </w:pPr>
      <w:r>
        <w:rPr>
          <w:i/>
          <w:color w:val="4A4A4A"/>
          <w:sz w:val="17"/>
        </w:rPr>
        <w:t xml:space="preserve">Cross-functional Analyst lead for Acquisition Directorate enterprise systems and business technology; GS-13</w:t>
      </w:r>
    </w:p>
    <w:p>
      <w:pPr>
        <w:spacing w:before="0" w:after="20" w:line="240" w:lineRule="auto"/>
        <w:ind w:left="360" w:hanging="180"/>
      </w:pPr>
      <w:r>
        <w:rPr>
          <w:color w:val="1F1F1F"/>
          <w:sz w:val="20"/>
        </w:rPr>
        <w:t xml:space="preserve">• </w:t>
      </w:r>
      <w:r>
        <w:rPr>
          <w:color w:val="1F1F1F"/>
          <w:sz w:val="18"/>
        </w:rPr>
        <w:t xml:space="preserve">Senior Analyst for Acquisition Directorate enterprise financial system, managing business workflow, assuring data integrity, and ensuring business &amp; functional reliability in federal environment.</w:t>
      </w:r>
    </w:p>
    <w:p>
      <w:pPr>
        <w:spacing w:before="0" w:after="20" w:line="240" w:lineRule="auto"/>
        <w:ind w:left="360" w:hanging="180"/>
      </w:pPr>
      <w:r>
        <w:rPr>
          <w:color w:val="1F1F1F"/>
          <w:sz w:val="20"/>
        </w:rPr>
        <w:t xml:space="preserve">• </w:t>
      </w:r>
      <w:r>
        <w:rPr>
          <w:color w:val="1F1F1F"/>
          <w:sz w:val="18"/>
        </w:rPr>
        <w:t xml:space="preserve">Delivered targeted user training and operational guidance that improved platform adoption and cut down recurring support tickets.</w:t>
      </w:r>
    </w:p>
    <w:p>
      <w:pPr>
        <w:spacing w:before="0" w:after="20" w:line="240" w:lineRule="auto"/>
        <w:ind w:left="360" w:hanging="180"/>
      </w:pPr>
      <w:r>
        <w:rPr>
          <w:color w:val="1F1F1F"/>
          <w:sz w:val="20"/>
        </w:rPr>
        <w:t xml:space="preserve">• </w:t>
      </w:r>
      <w:r>
        <w:rPr>
          <w:color w:val="1F1F1F"/>
          <w:sz w:val="18"/>
        </w:rPr>
        <w:t xml:space="preserve">Resolved client &amp; platform vendor defects and contractual billing disputes.</w:t>
      </w:r>
    </w:p>
    <w:p>
      <w:pPr>
        <w:spacing w:before="0" w:after="20" w:line="240" w:lineRule="auto"/>
        <w:ind w:left="360" w:hanging="180"/>
      </w:pPr>
      <w:r>
        <w:rPr>
          <w:color w:val="1F1F1F"/>
          <w:sz w:val="20"/>
        </w:rPr>
        <w:t xml:space="preserve">• </w:t>
      </w:r>
      <w:r>
        <w:rPr>
          <w:color w:val="1F1F1F"/>
          <w:sz w:val="18"/>
        </w:rPr>
        <w:t xml:space="preserve">Triaged enterprise system defects.</w:t>
      </w:r>
    </w:p>
    <w:p>
      <w:pPr>
        <w:spacing w:before="40" w:after="10" w:line="240" w:lineRule="auto"/>
      </w:pPr>
      <w:r>
        <w:rPr>
          <w:b/>
          <w:color w:val="17365D"/>
          <w:sz w:val="18"/>
        </w:rPr>
        <w:t xml:space="preserve">Senior Analyst Consultant | ARK Solutions — Client : IBC Acquisition Directorate </w:t>
      </w:r>
      <w:r>
        <w:rPr>
          <w:i/>
          <w:color w:val="4A4A4A"/>
          <w:sz w:val="17"/>
        </w:rPr>
        <w:t xml:space="preserve">Denver, CO | 2011–2025</w:t>
      </w:r>
    </w:p>
    <w:p>
      <w:pPr>
        <w:spacing w:before="0" w:after="20" w:line="240" w:lineRule="auto"/>
      </w:pPr>
      <w:r>
        <w:rPr>
          <w:i/>
          <w:color w:val="4A4A4A"/>
          <w:sz w:val="17"/>
        </w:rPr>
        <w:t xml:space="preserve">14-year enterprise business support, data migration, vendor support &amp; client training</w:t>
      </w:r>
    </w:p>
    <w:p>
      <w:pPr>
        <w:spacing w:before="0" w:after="20" w:line="240" w:lineRule="auto"/>
        <w:ind w:left="360" w:hanging="180"/>
      </w:pPr>
      <w:r>
        <w:rPr>
          <w:color w:val="1F1F1F"/>
          <w:sz w:val="20"/>
        </w:rPr>
        <w:t xml:space="preserve">• </w:t>
      </w:r>
      <w:r>
        <w:rPr>
          <w:color w:val="1F1F1F"/>
          <w:sz w:val="18"/>
        </w:rPr>
        <w:t xml:space="preserve">Delivered agency-wide cohort enablement and client system training for 85+ users, driving adoption and reducing support demand across technical and business functions.</w:t>
      </w:r>
    </w:p>
    <w:p>
      <w:pPr>
        <w:spacing w:before="0" w:after="20" w:line="240" w:lineRule="auto"/>
        <w:ind w:left="360" w:hanging="180"/>
      </w:pPr>
      <w:r>
        <w:rPr>
          <w:color w:val="1F1F1F"/>
          <w:sz w:val="20"/>
        </w:rPr>
        <w:t xml:space="preserve">• </w:t>
      </w:r>
      <w:r>
        <w:rPr>
          <w:color w:val="1F1F1F"/>
          <w:sz w:val="18"/>
        </w:rPr>
        <w:t xml:space="preserve">Department ETL Architect for the FBMS enterprise data conversion for 4 agencies, migrating, cleansing, and validating bureau databases into SAP S/4.</w:t>
      </w:r>
    </w:p>
    <w:p>
      <w:pPr>
        <w:spacing w:before="0" w:after="20" w:line="240" w:lineRule="auto"/>
        <w:ind w:left="360" w:hanging="180"/>
      </w:pPr>
      <w:r>
        <w:rPr>
          <w:color w:val="1F1F1F"/>
          <w:sz w:val="20"/>
        </w:rPr>
        <w:t xml:space="preserve">• </w:t>
      </w:r>
      <w:r>
        <w:rPr>
          <w:color w:val="1F1F1F"/>
          <w:sz w:val="18"/>
        </w:rPr>
        <w:t xml:space="preserve">Served as Senior escalation lead handling enterprise incidents and Aviation payment negotiations.</w:t>
      </w:r>
    </w:p>
    <w:p>
      <w:pPr>
        <w:spacing w:before="0" w:after="20" w:line="240" w:lineRule="auto"/>
        <w:ind w:left="360" w:hanging="180"/>
      </w:pPr>
      <w:r>
        <w:rPr>
          <w:color w:val="1F1F1F"/>
          <w:sz w:val="20"/>
        </w:rPr>
        <w:t xml:space="preserve">• </w:t>
      </w:r>
      <w:r>
        <w:rPr>
          <w:color w:val="1F1F1F"/>
          <w:sz w:val="18"/>
        </w:rPr>
        <w:t xml:space="preserve">Implemented framework to resolve financial discrepancies through realignment process.</w:t>
      </w:r>
    </w:p>
    <w:p>
      <w:pPr>
        <w:spacing w:before="0" w:after="20" w:line="240" w:lineRule="auto"/>
        <w:ind w:left="360" w:hanging="180"/>
      </w:pPr>
      <w:r>
        <w:rPr>
          <w:color w:val="1F1F1F"/>
          <w:sz w:val="20"/>
        </w:rPr>
        <w:t xml:space="preserve">• </w:t>
      </w:r>
      <w:r>
        <w:rPr>
          <w:color w:val="1F1F1F"/>
          <w:sz w:val="18"/>
        </w:rPr>
        <w:t xml:space="preserve">PRISM system administration, role-based access, procurement compliance, schema updates.</w:t>
      </w:r>
    </w:p>
    <w:p>
      <w:pPr>
        <w:spacing w:before="0" w:after="20" w:line="240" w:lineRule="auto"/>
        <w:ind w:left="360" w:hanging="180"/>
      </w:pPr>
      <w:r>
        <w:rPr>
          <w:color w:val="1F1F1F"/>
          <w:sz w:val="20"/>
        </w:rPr>
        <w:t xml:space="preserve">• </w:t>
      </w:r>
      <w:r>
        <w:rPr>
          <w:color w:val="1F1F1F"/>
          <w:sz w:val="18"/>
        </w:rPr>
        <w:t xml:space="preserve">Member of DOI Special Interest Group - FPDS reporting, Exemption &amp; security compliance.</w:t>
      </w:r>
    </w:p>
    <w:p>
      <w:pPr>
        <w:spacing w:before="0" w:after="20" w:line="240" w:lineRule="auto"/>
        <w:ind w:left="360" w:hanging="180"/>
      </w:pPr>
      <w:r>
        <w:rPr>
          <w:color w:val="1F1F1F"/>
          <w:sz w:val="20"/>
        </w:rPr>
        <w:t xml:space="preserve">• </w:t>
      </w:r>
      <w:r>
        <w:rPr>
          <w:color w:val="1F1F1F"/>
          <w:sz w:val="18"/>
        </w:rPr>
        <w:t xml:space="preserve">Performed DataAct Audit Analytics.</w:t>
      </w:r>
    </w:p>
    <w:p>
      <w:pPr>
        <w:spacing w:before="40" w:after="10" w:line="240" w:lineRule="auto"/>
      </w:pPr>
      <w:r>
        <w:rPr>
          <w:b/>
          <w:color w:val="17365D"/>
          <w:sz w:val="18"/>
        </w:rPr>
        <w:t xml:space="preserve">Solutions Developer / Architect | Acxiom Corporation </w:t>
      </w:r>
      <w:r>
        <w:rPr>
          <w:i/>
          <w:color w:val="4A4A4A"/>
          <w:sz w:val="17"/>
        </w:rPr>
        <w:t xml:space="preserve">Little Rock, AR | 1999–2009</w:t>
      </w:r>
    </w:p>
    <w:p>
      <w:pPr>
        <w:spacing w:before="0" w:after="20" w:line="240" w:lineRule="auto"/>
      </w:pPr>
      <w:r>
        <w:rPr>
          <w:i/>
          <w:color w:val="4A4A4A"/>
          <w:sz w:val="17"/>
        </w:rPr>
        <w:t xml:space="preserve">Identity resolution, predictive scoring algorithms, and relational data warehousing; foundation of LiveRamp</w:t>
      </w:r>
    </w:p>
    <w:p>
      <w:pPr>
        <w:spacing w:before="0" w:after="20" w:line="240" w:lineRule="auto"/>
        <w:ind w:left="360" w:hanging="180"/>
      </w:pPr>
      <w:r>
        <w:rPr>
          <w:color w:val="1F1F1F"/>
          <w:sz w:val="20"/>
        </w:rPr>
        <w:t xml:space="preserve">• </w:t>
      </w:r>
      <w:r>
        <w:rPr>
          <w:color w:val="1F1F1F"/>
          <w:sz w:val="18"/>
        </w:rPr>
        <w:t xml:space="preserve">Partnered with enterprise financial services and insurance clients (Citibank, Allstate, GE Money) to gather requirements, build consensus, and deploy mission-critical customer verification pipelines.</w:t>
      </w:r>
    </w:p>
    <w:p>
      <w:pPr>
        <w:spacing w:before="0" w:after="20" w:line="240" w:lineRule="auto"/>
        <w:ind w:left="360" w:hanging="180"/>
      </w:pPr>
      <w:r>
        <w:rPr>
          <w:color w:val="1F1F1F"/>
          <w:sz w:val="20"/>
        </w:rPr>
        <w:t xml:space="preserve">• </w:t>
      </w:r>
      <w:r>
        <w:rPr>
          <w:color w:val="1F1F1F"/>
          <w:sz w:val="18"/>
        </w:rPr>
        <w:t xml:space="preserve">Built Citibank's online identity scoring model, real-time scoring algorithms for fraud prevention.</w:t>
      </w:r>
    </w:p>
    <w:p>
      <w:pPr>
        <w:spacing w:before="0" w:after="20" w:line="240" w:lineRule="auto"/>
        <w:ind w:left="360" w:hanging="180"/>
      </w:pPr>
      <w:r>
        <w:rPr>
          <w:color w:val="1F1F1F"/>
          <w:sz w:val="20"/>
        </w:rPr>
        <w:t xml:space="preserve">• </w:t>
      </w:r>
      <w:r>
        <w:rPr>
          <w:color w:val="1F1F1F"/>
          <w:sz w:val="18"/>
        </w:rPr>
        <w:t xml:space="preserve">Standardized company-wide SDLC/SCM methodology as a process-improvement specialist on the Acxiom Methodology Board, leading cross-functional teams across PMO, project management, and SMEs.</w:t>
      </w:r>
    </w:p>
    <w:p>
      <w:pPr>
        <w:spacing w:before="0" w:after="20" w:line="240" w:lineRule="auto"/>
        <w:ind w:left="360" w:hanging="180"/>
      </w:pPr>
      <w:r>
        <w:rPr>
          <w:color w:val="1F1F1F"/>
          <w:sz w:val="20"/>
        </w:rPr>
        <w:t xml:space="preserve">• </w:t>
      </w:r>
      <w:r>
        <w:rPr>
          <w:color w:val="1F1F1F"/>
          <w:sz w:val="18"/>
        </w:rPr>
        <w:t xml:space="preserve">Provided business and technical support for Application Verification System, SLA compliance.</w:t>
      </w:r>
    </w:p>
    <w:p>
      <w:pPr>
        <w:spacing w:before="0" w:after="20" w:line="240" w:lineRule="auto"/>
        <w:ind w:left="360" w:hanging="180"/>
      </w:pPr>
      <w:r>
        <w:rPr>
          <w:color w:val="1F1F1F"/>
          <w:sz w:val="20"/>
        </w:rPr>
        <w:t xml:space="preserve">• </w:t>
      </w:r>
      <w:r>
        <w:rPr>
          <w:color w:val="1F1F1F"/>
          <w:sz w:val="18"/>
        </w:rPr>
        <w:t xml:space="preserve">Built and supported customer recognition, precision marketing and cross-selling solutions.</w:t>
      </w:r>
    </w:p>
    <w:p>
      <w:pPr>
        <w:spacing w:before="100" w:after="40" w:line="240" w:lineRule="auto"/>
        <w:pBdr>
          <w:bottom w:val="single" w:sz="6" w:space="4" w:color="17365D"/>
        </w:pBdr>
      </w:pPr>
      <w:r>
        <w:rPr>
          <w:rFonts w:ascii="Times New Roman" w:hAnsi="Times New Roman"/>
          <w:b/>
          <w:color w:val="17365D"/>
          <w:sz w:val="20"/>
        </w:rPr>
        <w:t xml:space="preserve">AI ENGINEERING PORTFOLIO</w:t>
      </w:r>
    </w:p>
    <w:p>
      <w:pPr>
        <w:spacing w:before="40" w:after="10" w:line="240" w:lineRule="auto"/>
      </w:pPr>
      <w:r>
        <w:rPr>
          <w:b/>
          <w:color w:val="17365D"/>
          <w:sz w:val="18"/>
        </w:rPr>
        <w:t xml:space="preserve">Trading Copilot — Governed Multi-Agent Research Platform </w:t>
      </w:r>
      <w:r>
        <w:rPr>
          <w:i/>
          <w:color w:val="4A4A4A"/>
          <w:sz w:val="17"/>
        </w:rPr>
        <w:t xml:space="preserve">AI in Finance Nicole Koenigstein</w:t>
      </w:r>
    </w:p>
    <w:p>
      <w:pPr>
        <w:spacing w:before="0" w:after="20" w:line="240" w:lineRule="auto"/>
        <w:ind w:left="360" w:hanging="180"/>
      </w:pPr>
      <w:r>
        <w:rPr>
          <w:color w:val="1F1F1F"/>
          <w:sz w:val="20"/>
        </w:rPr>
        <w:t xml:space="preserve">• </w:t>
      </w:r>
      <w:r>
        <w:rPr>
          <w:color w:val="1F1F1F"/>
          <w:sz w:val="18"/>
        </w:rPr>
        <w:t xml:space="preserve">Architected multi-agent equities research pipelines in LangGraph combining hierarchical supervisor and peer-to-peer topologies with bounded execution budgets and deterministic state machine transitions.</w:t>
      </w:r>
    </w:p>
    <w:p>
      <w:pPr>
        <w:spacing w:before="0" w:after="20" w:line="240" w:lineRule="auto"/>
        <w:ind w:left="360" w:hanging="180"/>
      </w:pPr>
      <w:r>
        <w:rPr>
          <w:color w:val="1F1F1F"/>
          <w:sz w:val="20"/>
        </w:rPr>
        <w:t xml:space="preserve">• </w:t>
      </w:r>
      <w:r>
        <w:rPr>
          <w:color w:val="1F1F1F"/>
          <w:sz w:val="18"/>
        </w:rPr>
        <w:t xml:space="preserve">Implemented 4-layer harness architecture separating non-deterministic model proposals from deterministic policy enforcement, tool contracts, and zero-trust sandbox execution.</w:t>
      </w:r>
    </w:p>
    <w:p>
      <w:pPr>
        <w:spacing w:before="0" w:after="20" w:line="240" w:lineRule="auto"/>
        <w:ind w:left="360" w:hanging="180"/>
      </w:pPr>
      <w:r>
        <w:rPr>
          <w:color w:val="1F1F1F"/>
          <w:sz w:val="20"/>
        </w:rPr>
        <w:t xml:space="preserve">• </w:t>
      </w:r>
      <w:r>
        <w:rPr>
          <w:color w:val="1F1F1F"/>
          <w:sz w:val="18"/>
        </w:rPr>
        <w:t xml:space="preserve">Integrated 6-measure trajectory observability via OpenTelemetry and self-hosted Langfuse to audit multi-step reasoning paths across Correctness, Grounding, Latency, Cost, Safety, and Auditability.</w:t>
      </w:r>
    </w:p>
    <w:p>
      <w:pPr>
        <w:spacing w:before="0" w:after="20" w:line="240" w:lineRule="auto"/>
        <w:ind w:left="360" w:hanging="180"/>
      </w:pPr>
      <w:r>
        <w:rPr>
          <w:color w:val="1F1F1F"/>
          <w:sz w:val="20"/>
        </w:rPr>
        <w:t xml:space="preserve">• </w:t>
      </w:r>
      <w:r>
        <w:rPr>
          <w:color w:val="1F1F1F"/>
          <w:sz w:val="18"/>
        </w:rPr>
        <w:t xml:space="preserve">Enforced loop governance with 4 mandatory termination conditions and a 3-rung escalation ladder to eliminate runaway agent execution and mitigate coordination tax.</w:t>
      </w:r>
    </w:p>
    <w:p>
      <w:pPr>
        <w:spacing w:before="40" w:after="10" w:line="240" w:lineRule="auto"/>
      </w:pPr>
      <w:r>
        <w:rPr>
          <w:b/>
          <w:color w:val="17365D"/>
          <w:sz w:val="18"/>
        </w:rPr>
        <w:t xml:space="preserve">Multimodal Document Intelligence — Auditable Data Extraction Pipeline </w:t>
      </w:r>
      <w:r>
        <w:rPr>
          <w:i/>
          <w:color w:val="4A4A4A"/>
          <w:sz w:val="17"/>
        </w:rPr>
        <w:t xml:space="preserve">Stanford | 2026</w:t>
      </w:r>
    </w:p>
    <w:p>
      <w:pPr>
        <w:spacing w:before="0" w:after="20" w:line="240" w:lineRule="auto"/>
        <w:ind w:left="360" w:hanging="180"/>
      </w:pPr>
      <w:r>
        <w:rPr>
          <w:color w:val="1F1F1F"/>
          <w:sz w:val="20"/>
        </w:rPr>
        <w:t xml:space="preserve">• </w:t>
      </w:r>
      <w:r>
        <w:rPr>
          <w:color w:val="1F1F1F"/>
          <w:sz w:val="18"/>
        </w:rPr>
        <w:t xml:space="preserve">Built an auditable document intelligence pipeline using LangGraph StateGraph &amp; OCR parsing for unstructured business documents, matching modular architectures like Symetra's docstream.</w:t>
      </w:r>
    </w:p>
    <w:p>
      <w:pPr>
        <w:spacing w:before="0" w:after="20" w:line="240" w:lineRule="auto"/>
        <w:ind w:left="360" w:hanging="180"/>
      </w:pPr>
      <w:r>
        <w:rPr>
          <w:color w:val="1F1F1F"/>
          <w:sz w:val="20"/>
        </w:rPr>
        <w:t xml:space="preserve">• </w:t>
      </w:r>
      <w:r>
        <w:rPr>
          <w:color w:val="1F1F1F"/>
          <w:sz w:val="18"/>
        </w:rPr>
        <w:t xml:space="preserve">Enforced Pydantic contract validation, confidence scoring, prompt-injection anomaly gating, and semantic retrieval.</w:t>
      </w:r>
    </w:p>
    <w:p>
      <w:pPr>
        <w:spacing w:before="40" w:after="10" w:line="240" w:lineRule="auto"/>
      </w:pPr>
      <w:r>
        <w:rPr>
          <w:b/>
          <w:color w:val="17365D"/>
          <w:sz w:val="18"/>
        </w:rPr>
        <w:t xml:space="preserve">Codex &amp; Antigravity Agentic Systems — Enterprise Enablement &amp; MCP Platform </w:t>
      </w:r>
      <w:r>
        <w:rPr>
          <w:i/>
          <w:color w:val="4A4A4A"/>
          <w:sz w:val="17"/>
        </w:rPr>
        <w:t xml:space="preserve">AI Guardians | 2026</w:t>
      </w:r>
    </w:p>
    <w:p>
      <w:pPr>
        <w:spacing w:before="0" w:after="20" w:line="240" w:lineRule="auto"/>
        <w:ind w:left="360" w:hanging="180"/>
      </w:pPr>
      <w:r>
        <w:rPr>
          <w:color w:val="1F1F1F"/>
          <w:sz w:val="20"/>
        </w:rPr>
        <w:t xml:space="preserve">• </w:t>
      </w:r>
      <w:r>
        <w:rPr>
          <w:color w:val="1F1F1F"/>
          <w:sz w:val="18"/>
        </w:rPr>
        <w:t xml:space="preserve">Built specialized multi-agent workflows (architect, validator, auditor, reviewer, tester) with runtime hooks, tool contracts, and subagent orchestration.</w:t>
      </w:r>
    </w:p>
    <w:p>
      <w:pPr>
        <w:spacing w:before="0" w:after="20" w:line="240" w:lineRule="auto"/>
        <w:ind w:left="360" w:hanging="180"/>
      </w:pPr>
      <w:r>
        <w:rPr>
          <w:color w:val="1F1F1F"/>
          <w:sz w:val="20"/>
        </w:rPr>
        <w:t xml:space="preserve">• </w:t>
      </w:r>
      <w:r>
        <w:rPr>
          <w:color w:val="1F1F1F"/>
          <w:sz w:val="18"/>
        </w:rPr>
        <w:t xml:space="preserve">Connected Figma, GitHub, Atlassian, and Google Workspace through Model Context Protocol (MCP) and custom plugins; enforced bounded execution and human-in-the-loop approvals.</w:t>
      </w:r>
    </w:p>
    <w:p>
      <w:pPr>
        <w:spacing w:before="40" w:after="10" w:line="240" w:lineRule="auto"/>
      </w:pPr>
      <w:r>
        <w:rPr>
          <w:b/>
          <w:color w:val="17365D"/>
          <w:sz w:val="18"/>
        </w:rPr>
        <w:t xml:space="preserve">AI Incident Monitor — AI Risk Intelligence Platform </w:t>
      </w:r>
      <w:r>
        <w:rPr>
          <w:i/>
          <w:color w:val="4A4A4A"/>
          <w:sz w:val="17"/>
        </w:rPr>
        <w:t xml:space="preserve">AI Guardians LLC | 2026</w:t>
      </w:r>
    </w:p>
    <w:p>
      <w:pPr>
        <w:spacing w:before="0" w:after="20" w:line="240" w:lineRule="auto"/>
        <w:ind w:left="360" w:hanging="180"/>
      </w:pPr>
      <w:r>
        <w:rPr>
          <w:color w:val="1F1F1F"/>
          <w:sz w:val="20"/>
        </w:rPr>
        <w:t xml:space="preserve">• </w:t>
      </w:r>
      <w:r>
        <w:rPr>
          <w:color w:val="1F1F1F"/>
          <w:sz w:val="18"/>
        </w:rPr>
        <w:t xml:space="preserve">Architected Explainable AI incident severity scoring and compliance taxonomy mapping based on NIST AI RMF 1.0.</w:t>
      </w:r>
    </w:p>
    <w:p>
      <w:pPr>
        <w:spacing w:before="100" w:after="40" w:line="240" w:lineRule="auto"/>
        <w:pBdr>
          <w:bottom w:val="single" w:sz="6" w:space="4" w:color="17365D"/>
        </w:pBdr>
      </w:pPr>
      <w:r>
        <w:rPr>
          <w:rFonts w:ascii="Times New Roman" w:hAnsi="Times New Roman"/>
          <w:b/>
          <w:color w:val="17365D"/>
          <w:sz w:val="20"/>
        </w:rPr>
        <w:t xml:space="preserve">EDUCATION &amp; PROFESSIONAL DEVELOPMENT</w:t>
      </w:r>
    </w:p>
    <w:p>
      <w:pPr>
        <w:spacing w:before="0" w:after="20" w:line="240" w:lineRule="auto"/>
        <w:ind w:left="360" w:hanging="180"/>
      </w:pPr>
      <w:r>
        <w:rPr>
          <w:color w:val="1F1F1F"/>
          <w:sz w:val="20"/>
        </w:rPr>
        <w:t xml:space="preserve">• </w:t>
      </w:r>
      <w:r>
        <w:rPr>
          <w:b/>
          <w:color w:val="1F1F1F"/>
          <w:sz w:val="18"/>
        </w:rPr>
        <w:t xml:space="preserve">Packt Certificate Course:</w:t>
      </w:r>
      <w:r>
        <w:rPr>
          <w:color w:val="1F1F1F"/>
          <w:sz w:val="18"/>
        </w:rPr>
        <w:t xml:space="preserve"> Agentic AI for Finance — Nicole Koenigstein (Harness Engineering, Multi-Agent Topologies, Trajectory Observability, Agent Security &amp; Sandboxing)</w:t>
      </w:r>
    </w:p>
    <w:p>
      <w:pPr>
        <w:spacing w:before="0" w:after="20" w:line="240" w:lineRule="auto"/>
        <w:ind w:left="360" w:hanging="180"/>
      </w:pPr>
      <w:r>
        <w:rPr>
          <w:color w:val="1F1F1F"/>
          <w:sz w:val="20"/>
        </w:rPr>
        <w:t xml:space="preserve">• </w:t>
      </w:r>
      <w:r>
        <w:rPr>
          <w:b/>
          <w:color w:val="1F1F1F"/>
          <w:sz w:val="18"/>
        </w:rPr>
        <w:t xml:space="preserve">OpenAI Codex Bootcamps:</w:t>
      </w:r>
      <w:r>
        <w:rPr>
          <w:color w:val="1F1F1F"/>
          <w:sz w:val="18"/>
        </w:rPr>
        <w:t xml:space="preserve"> Completed 7 Bootcamps across Fundamentals, 201, and 301 (Agent Orchestration, MCP Integration, Context Engineering)</w:t>
      </w:r>
    </w:p>
    <w:p>
      <w:pPr>
        <w:spacing w:before="0" w:after="20" w:line="240" w:lineRule="auto"/>
        <w:ind w:left="360" w:hanging="180"/>
      </w:pPr>
      <w:r>
        <w:rPr>
          <w:color w:val="1F1F1F"/>
          <w:sz w:val="20"/>
        </w:rPr>
        <w:t xml:space="preserve">• </w:t>
      </w:r>
      <w:r>
        <w:rPr>
          <w:b/>
          <w:color w:val="1F1F1F"/>
          <w:sz w:val="18"/>
        </w:rPr>
        <w:t xml:space="preserve">UC Berkeley Extension:</w:t>
      </w:r>
      <w:r>
        <w:rPr>
          <w:color w:val="1F1F1F"/>
          <w:sz w:val="18"/>
        </w:rPr>
        <w:t xml:space="preserve"> Machine Learning and Deep Learning.</w:t>
      </w:r>
    </w:p>
    <w:p>
      <w:pPr>
        <w:spacing w:before="0" w:after="20" w:line="240" w:lineRule="auto"/>
        <w:ind w:left="360" w:hanging="180"/>
      </w:pPr>
      <w:r>
        <w:rPr>
          <w:color w:val="1F1F1F"/>
          <w:sz w:val="20"/>
        </w:rPr>
        <w:t xml:space="preserve">• </w:t>
      </w:r>
      <w:r>
        <w:rPr>
          <w:b/>
          <w:color w:val="1F1F1F"/>
          <w:sz w:val="18"/>
        </w:rPr>
        <w:t xml:space="preserve">University of Denver:</w:t>
      </w:r>
      <w:r>
        <w:rPr>
          <w:color w:val="1F1F1F"/>
          <w:sz w:val="18"/>
        </w:rPr>
        <w:t xml:space="preserve"> Graduate Certificate, AI Strategy &amp; Applications in IT</w:t>
      </w:r>
    </w:p>
    <w:p>
      <w:pPr>
        <w:spacing w:before="0" w:after="20" w:line="240" w:lineRule="auto"/>
        <w:ind w:left="360" w:hanging="180"/>
      </w:pPr>
      <w:r>
        <w:rPr>
          <w:color w:val="1F1F1F"/>
          <w:sz w:val="20"/>
        </w:rPr>
        <w:t xml:space="preserve">• </w:t>
      </w:r>
      <w:r>
        <w:rPr>
          <w:b/>
          <w:color w:val="1F1F1F"/>
          <w:sz w:val="18"/>
        </w:rPr>
        <w:t xml:space="preserve">Stanford Continuing Studies:</w:t>
      </w:r>
      <w:r>
        <w:rPr>
          <w:color w:val="1F1F1F"/>
          <w:sz w:val="18"/>
        </w:rPr>
        <w:t xml:space="preserve"> Data Analysis with Python • Modern AI Architectures • AI Accountability</w:t>
      </w:r>
    </w:p>
    <w:p>
      <w:pPr>
        <w:spacing w:before="0" w:after="20" w:line="240" w:lineRule="auto"/>
        <w:ind w:left="360" w:hanging="180"/>
      </w:pPr>
      <w:r>
        <w:rPr>
          <w:color w:val="1F1F1F"/>
          <w:sz w:val="20"/>
        </w:rPr>
        <w:t xml:space="preserve">• </w:t>
      </w:r>
      <w:r>
        <w:rPr>
          <w:b/>
          <w:color w:val="1F1F1F"/>
          <w:sz w:val="18"/>
        </w:rPr>
        <w:t xml:space="preserve">Harvard John A. Paulson SEAS:</w:t>
      </w:r>
      <w:r>
        <w:rPr>
          <w:color w:val="1F1F1F"/>
          <w:sz w:val="18"/>
        </w:rPr>
        <w:t xml:space="preserve"> Executive Certificate — LLMs: Transformer to Agentic AI</w:t>
      </w:r>
    </w:p>
    <w:p>
      <w:pPr>
        <w:spacing w:before="0" w:after="20" w:line="240" w:lineRule="auto"/>
        <w:ind w:left="360" w:hanging="180"/>
      </w:pPr>
      <w:r>
        <w:rPr>
          <w:color w:val="1F1F1F"/>
          <w:sz w:val="20"/>
        </w:rPr>
        <w:t xml:space="preserve">• </w:t>
      </w:r>
      <w:r>
        <w:rPr>
          <w:b/>
          <w:color w:val="1F1F1F"/>
          <w:sz w:val="18"/>
        </w:rPr>
        <w:t xml:space="preserve">St. Joseph's College:</w:t>
      </w:r>
      <w:r>
        <w:rPr>
          <w:color w:val="1F1F1F"/>
          <w:sz w:val="18"/>
        </w:rPr>
        <w:t xml:space="preserve"> M.S. &amp; B.S., Computer Science</w:t>
      </w:r>
    </w:p>
    <w:p>
      <w:pPr>
        <w:spacing w:before="0" w:after="20" w:line="240" w:lineRule="auto"/>
        <w:ind w:left="360" w:hanging="180"/>
      </w:pPr>
      <w:r>
        <w:rPr>
          <w:color w:val="1F1F1F"/>
          <w:sz w:val="20"/>
        </w:rPr>
        <w:t xml:space="preserve">• </w:t>
      </w:r>
      <w:r>
        <w:rPr>
          <w:b/>
          <w:color w:val="1F1F1F"/>
          <w:sz w:val="18"/>
        </w:rPr>
        <w:t xml:space="preserve">Honors &amp; Awards:</w:t>
      </w:r>
      <w:r>
        <w:rPr>
          <w:color w:val="1F1F1F"/>
          <w:sz w:val="18"/>
        </w:rPr>
        <w:t xml:space="preserve"> Interior Business Center Award for Excellence • DOI FBMS Special Recognition</w:t>
      </w:r>
    </w:p>
    <w:p>
      <w:pPr>
        <w:spacing w:before="0" w:after="20" w:line="240" w:lineRule="auto"/>
        <w:ind w:left="360" w:hanging="180"/>
      </w:pPr>
      <w:r>
        <w:rPr>
          <w:color w:val="1F1F1F"/>
          <w:sz w:val="20"/>
        </w:rPr>
        <w:t xml:space="preserve">• </w:t>
      </w:r>
      <w:r>
        <w:rPr>
          <w:b/>
          <w:color w:val="1F1F1F"/>
          <w:sz w:val="18"/>
        </w:rPr>
        <w:t xml:space="preserve">AI Tech and Privacy Academy:</w:t>
      </w:r>
      <w:r>
        <w:rPr>
          <w:color w:val="1F1F1F"/>
          <w:sz w:val="18"/>
        </w:rPr>
        <w:t xml:space="preserve"> AI Governance &amp; Privacy Frameworks</w:t>
      </w:r>
    </w:p>
    <w:p>
      <w:pPr>
        <w:spacing w:before="100" w:after="40" w:line="240" w:lineRule="auto"/>
        <w:pBdr>
          <w:bottom w:val="single" w:sz="6" w:space="4" w:color="17365D"/>
        </w:pBdr>
      </w:pPr>
      <w:r>
        <w:rPr>
          <w:rFonts w:ascii="Times New Roman" w:hAnsi="Times New Roman"/>
          <w:b/>
          <w:color w:val="17365D"/>
          <w:sz w:val="20"/>
        </w:rPr>
        <w:t xml:space="preserve">TECHNICAL PROFICIENCIES</w:t>
      </w:r>
    </w:p>
    <w:p>
      <w:pPr>
        <w:spacing w:before="0" w:after="20" w:line="240" w:lineRule="auto"/>
        <w:ind w:left="360" w:hanging="180"/>
      </w:pPr>
      <w:r>
        <w:rPr>
          <w:color w:val="1F1F1F"/>
          <w:sz w:val="20"/>
        </w:rPr>
        <w:t xml:space="preserve">• </w:t>
      </w:r>
      <w:r>
        <w:rPr>
          <w:b/>
          <w:color w:val="1F1F1F"/>
          <w:sz w:val="18"/>
        </w:rPr>
        <w:t xml:space="preserve">AI Coding Agents &amp; LLMOps:</w:t>
      </w:r>
      <w:r>
        <w:rPr>
          <w:color w:val="1F1F1F"/>
          <w:sz w:val="18"/>
        </w:rPr>
        <w:t xml:space="preserve"> OpenAI Codex (CLI, IDE, App) • Google Antigravity • Claude Code • Cursor • Large Language Models • Transformer Architectures • Retrieval-Augmented Generation • Agentic AI Workflows • Multi-Agent Systems • Tool Calling • LoRA • Unsloth • Qdrant Vector Search</w:t>
      </w:r>
    </w:p>
    <w:p>
      <w:pPr>
        <w:spacing w:before="0" w:after="20" w:line="240" w:lineRule="auto"/>
        <w:ind w:left="360" w:hanging="180"/>
      </w:pPr>
      <w:r>
        <w:rPr>
          <w:color w:val="1F1F1F"/>
          <w:sz w:val="20"/>
        </w:rPr>
        <w:t xml:space="preserve">• </w:t>
      </w:r>
      <w:r>
        <w:rPr>
          <w:b/>
          <w:color w:val="1F1F1F"/>
          <w:sz w:val="18"/>
        </w:rPr>
        <w:t xml:space="preserve">Agentic Harness Engineering &amp; Governance:</w:t>
      </w:r>
      <w:r>
        <w:rPr>
          <w:color w:val="1F1F1F"/>
          <w:sz w:val="18"/>
        </w:rPr>
        <w:t xml:space="preserve"> 4-Layer Harness Architecture • LangGraph StateGraph (FSM/HSM) • Multi-Agent Topologies (Hierarchical Supervisor, Peer-to-Peer, Blackboard, Swarm) • Loop Engineering &amp; Termination Conditions • 3-Rung Escalation Ladders • Trajectory Observability (OpenTelemetry, Langfuse, LangSmith) • Bounded Execution Guardrails • NIST AI RMF 1.0 • ISO 42001</w:t>
      </w:r>
    </w:p>
    <w:p>
      <w:pPr>
        <w:spacing w:before="0" w:after="20" w:line="240" w:lineRule="auto"/>
        <w:ind w:left="360" w:hanging="180"/>
      </w:pPr>
      <w:r>
        <w:rPr>
          <w:color w:val="1F1F1F"/>
          <w:sz w:val="20"/>
        </w:rPr>
        <w:t xml:space="preserve">• </w:t>
      </w:r>
      <w:r>
        <w:rPr>
          <w:b/>
          <w:color w:val="1F1F1F"/>
          <w:sz w:val="18"/>
        </w:rPr>
        <w:t xml:space="preserve">Agent Security &amp; Structured Output:</w:t>
      </w:r>
      <w:r>
        <w:rPr>
          <w:color w:val="1F1F1F"/>
          <w:sz w:val="18"/>
        </w:rPr>
        <w:t xml:space="preserve"> OWASP Top 15 Agent Vulnerabilities • Confused Deputy Defense • Docker &amp; E2B Sandboxing • Zero-Trust UI Firewall Architecture • 3-Tier Fallback Validation (Strict JSON Schema, Instructor/Pydantic, Canonicalization)</w:t>
      </w:r>
    </w:p>
    <w:p>
      <w:pPr>
        <w:spacing w:before="0" w:after="20" w:line="240" w:lineRule="auto"/>
        <w:ind w:left="360" w:hanging="180"/>
      </w:pPr>
      <w:r>
        <w:rPr>
          <w:color w:val="1F1F1F"/>
          <w:sz w:val="20"/>
        </w:rPr>
        <w:t xml:space="preserve">• </w:t>
      </w:r>
      <w:r>
        <w:rPr>
          <w:b/>
          <w:color w:val="1F1F1F"/>
          <w:sz w:val="18"/>
        </w:rPr>
        <w:t xml:space="preserve">Model Context Protocol &amp; Enterprise Tooling:</w:t>
      </w:r>
      <w:r>
        <w:rPr>
          <w:color w:val="1F1F1F"/>
          <w:sz w:val="18"/>
        </w:rPr>
        <w:t xml:space="preserve"> MCP Server Architecture • Custom Tool Calling • Tool Schema Definition • Figma MCP • GitHub Plugin • Atlassian Plugin • Google Workspace Plugins • AGENTS.md Context Engineering • Reusable Skill Repositories</w:t>
      </w:r>
    </w:p>
    <w:p>
      <w:pPr>
        <w:spacing w:before="0" w:after="20" w:line="240" w:lineRule="auto"/>
        <w:ind w:left="360" w:hanging="180"/>
      </w:pPr>
      <w:r>
        <w:rPr>
          <w:color w:val="1F1F1F"/>
          <w:sz w:val="20"/>
        </w:rPr>
        <w:t xml:space="preserve">• </w:t>
      </w:r>
      <w:r>
        <w:rPr>
          <w:b/>
          <w:color w:val="1F1F1F"/>
          <w:sz w:val="18"/>
        </w:rPr>
        <w:t xml:space="preserve">Software Engineering &amp; Analytical Workflows:</w:t>
      </w:r>
      <w:r>
        <w:rPr>
          <w:color w:val="1F1F1F"/>
          <w:sz w:val="18"/>
        </w:rPr>
        <w:t xml:space="preserve"> Python • pandas &amp; NumPy • FastAPI • Pydantic • SQLAlchemy • RESTful API Contracts • JSON Schema • pytest • GitHub • Cloud Deployment (Google Cloud Run, Vercel)</w:t>
      </w:r>
    </w:p>
    <w:p>
      <w:pPr>
        <w:spacing w:before="0" w:after="20" w:line="240" w:lineRule="auto"/>
        <w:ind w:left="360" w:hanging="180"/>
      </w:pPr>
      <w:r>
        <w:rPr>
          <w:color w:val="1F1F1F"/>
          <w:sz w:val="20"/>
        </w:rPr>
        <w:t xml:space="preserve">• </w:t>
      </w:r>
      <w:r>
        <w:rPr>
          <w:b/>
          <w:color w:val="1F1F1F"/>
          <w:sz w:val="18"/>
        </w:rPr>
        <w:t xml:space="preserve">AI Enablement, Adoption &amp; Measurement:</w:t>
      </w:r>
      <w:r>
        <w:rPr>
          <w:color w:val="1F1F1F"/>
          <w:sz w:val="18"/>
        </w:rPr>
        <w:t xml:space="preserve"> Developer Relations • Technical Office Hours • Prompt Engineering Frameworks • Cohort Training &amp; User Enablement • Adoption Tracking &amp; Metrics • Golden-Set Evaluations • Cross-Functional Technical Advocacy</w:t>
      </w:r>
    </w:p>
    <w:sectPr>
      <w:pgSz w:w="12240" w:h="15840"/>
      <w:pgMar w:top="720" w:right="893" w:bottom="720" w:left="893"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0"/>
        <w:color w:val="1F1F1F"/>
      </w:rPr>
    </w:rPrDefault>
  </w:docDefaults>
</w:styles>
</file>

<file path=word/_rels/document.xml.rels><?xml version="1.0" encoding="UTF-8" standalone="yes"?>
<Relationships xmlns="http://schemas.openxmlformats.org/package/2006/relationships">
  <Relationship Id="rIdHyperlink1" Type="http://schemas.openxmlformats.org/officeDocument/2006/relationships/hyperlink" Target="https://www.linkedin.com/in/ebenezer-rolston/" TargetMode="External"/>
  <Relationship Id="rIdHyperlink2" Type="http://schemas.openxmlformats.org/officeDocument/2006/relationships/hyperlink" Target="https://github.com/EbeDenver" TargetMode="External"/>
  <Relationship Id="rIdHyperlink3" Type="http://schemas.openxmlformats.org/officeDocument/2006/relationships/hyperlink" Target="https://portal.aiguardiansllc.us/" TargetMode="External"/>
</Relationships>
</file>