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65D"/>
          <w:sz w:val="30"/>
        </w:rPr>
        <w:t>SYMETRA SKILL GAP &amp; FIT ANALYSIS</w:t>
      </w:r>
    </w:p>
    <w:p>
      <w:pPr>
        <w:spacing w:before="0" w:after="200"/>
      </w:pPr>
      <w:r>
        <w:rPr>
          <w:rFonts w:ascii="Calibri" w:hAnsi="Calibri"/>
          <w:color w:val="5A6978"/>
          <w:sz w:val="19"/>
        </w:rPr>
        <w:t>Developer Advocate, AI Enablement • Requisition 446718944470 • Candidate: Ebenezer J. Rolston</w:t>
      </w:r>
    </w:p>
    <w:p>
      <w:pPr>
        <w:spacing w:before="0" w:after="80"/>
      </w:pPr>
      <w:r>
        <w:rPr>
          <w:rFonts w:ascii="Calibri" w:hAnsi="Calibri"/>
          <w:color w:val="28323C"/>
          <w:sz w:val="19"/>
        </w:rPr>
      </w:r>
      <w:r>
        <w:rPr>
          <w:rFonts w:ascii="Calibri" w:hAnsi="Calibri"/>
          <w:b/>
          <w:color w:val="28323C"/>
          <w:sz w:val="19"/>
        </w:rPr>
        <w:t>Developer Advocate / AI Enablement | Insurance AI Adoption | Requisition 446718944470</w:t>
      </w:r>
      <w:r>
        <w:rPr>
          <w:rFonts w:ascii="Calibri" w:hAnsi="Calibri"/>
          <w:color w:val="28323C"/>
          <w:sz w:val="19"/>
        </w:rPr>
        <w:t xml:space="preserve">  </w:t>
      </w:r>
    </w:p>
    <w:p>
      <w:pPr>
        <w:spacing w:before="0" w:after="80"/>
      </w:pPr>
      <w:r>
        <w:rPr>
          <w:rFonts w:ascii="Calibri" w:hAnsi="Calibri"/>
          <w:color w:val="28323C"/>
          <w:sz w:val="19"/>
        </w:rPr>
        <w:t>Candidate: Ebenezer J. Rolston (Denver, CO) • Target Role: Hybrid / Remote • Overall Fit Score: 94/100 • Estimated Interview Probability: 90%</w:t>
      </w:r>
    </w:p>
    <w:p>
      <w:pPr>
        <w:spacing w:before="200" w:after="80"/>
      </w:pPr>
      <w:r>
        <w:rPr>
          <w:rFonts w:ascii="Calibri" w:hAnsi="Calibri"/>
          <w:b/>
          <w:color w:val="17365D"/>
          <w:sz w:val="23"/>
        </w:rPr>
        <w:t>1. Executive Summary &amp; Strategic Context</w:t>
      </w:r>
    </w:p>
    <w:p>
      <w:pPr>
        <w:spacing w:before="0" w:after="80"/>
      </w:pPr>
      <w:r>
        <w:rPr>
          <w:rFonts w:ascii="Calibri" w:hAnsi="Calibri"/>
          <w:color w:val="28323C"/>
          <w:sz w:val="19"/>
        </w:rPr>
        <w:t xml:space="preserve">Symetra Financial Corporation is a diversified financial services and insurance company offering life insurance, annuities, and employee benefits. As AI coding agents (Codex, Claude, Cursor, Antigravity) mature, Symetra is hiring a </w:t>
      </w:r>
      <w:r>
        <w:rPr>
          <w:rFonts w:ascii="Calibri" w:hAnsi="Calibri"/>
          <w:b/>
          <w:color w:val="28323C"/>
          <w:sz w:val="19"/>
        </w:rPr>
        <w:t>Developer Advocate / AI Enablement</w:t>
      </w:r>
      <w:r>
        <w:rPr>
          <w:rFonts w:ascii="Calibri" w:hAnsi="Calibri"/>
          <w:color w:val="28323C"/>
          <w:sz w:val="19"/>
        </w:rPr>
        <w:t xml:space="preserve"> specialist to accelerate safe, measurable adoption of AI-assisted development across engineering teams—while respecting insurance industry compliance and security requirements.</w:t>
      </w:r>
    </w:p>
    <w:p>
      <w:pPr>
        <w:spacing w:before="0" w:after="80"/>
      </w:pPr>
      <w:r>
        <w:rPr>
          <w:rFonts w:ascii="Calibri" w:hAnsi="Calibri"/>
          <w:color w:val="28323C"/>
          <w:sz w:val="19"/>
        </w:rPr>
        <w:t xml:space="preserve">Ebenezer J. Rolston brings a compelling synthesis of </w:t>
      </w:r>
      <w:r>
        <w:rPr>
          <w:rFonts w:ascii="Calibri" w:hAnsi="Calibri"/>
          <w:b/>
          <w:color w:val="28323C"/>
          <w:sz w:val="19"/>
        </w:rPr>
        <w:t>enterprise enablement experience</w:t>
      </w:r>
      <w:r>
        <w:rPr>
          <w:rFonts w:ascii="Calibri" w:hAnsi="Calibri"/>
          <w:color w:val="28323C"/>
          <w:sz w:val="19"/>
        </w:rPr>
        <w:t xml:space="preserve"> (14 years training 85+ users, establishing SDLC standards, running cohort training at DOI/IBC), </w:t>
      </w:r>
      <w:r>
        <w:rPr>
          <w:rFonts w:ascii="Calibri" w:hAnsi="Calibri"/>
          <w:b/>
          <w:color w:val="28323C"/>
          <w:sz w:val="19"/>
        </w:rPr>
        <w:t>deep hands-on AI coding agent fluency</w:t>
      </w:r>
      <w:r>
        <w:rPr>
          <w:rFonts w:ascii="Calibri" w:hAnsi="Calibri"/>
          <w:color w:val="28323C"/>
          <w:sz w:val="19"/>
        </w:rPr>
        <w:t xml:space="preserve"> (7 OpenAI Codex bootcamps, Google Antigravity agent engineering, MCP integrations), and </w:t>
      </w:r>
      <w:r>
        <w:rPr>
          <w:rFonts w:ascii="Calibri" w:hAnsi="Calibri"/>
          <w:b/>
          <w:color w:val="28323C"/>
          <w:sz w:val="19"/>
        </w:rPr>
        <w:t>production-grade agent governance</w:t>
      </w:r>
      <w:r>
        <w:rPr>
          <w:rFonts w:ascii="Calibri" w:hAnsi="Calibri"/>
          <w:color w:val="28323C"/>
          <w:sz w:val="19"/>
        </w:rPr>
        <w:t xml:space="preserve"> (NIST AI RMF, ISO 42001, bounded execution, evidence-based verification). His profile is now significantly strengthened by the Packt </w:t>
      </w:r>
      <w:r>
        <w:rPr>
          <w:rFonts w:ascii="Calibri" w:hAnsi="Calibri"/>
          <w:b/>
          <w:color w:val="28323C"/>
          <w:sz w:val="19"/>
        </w:rPr>
        <w:t>Agentic AI for Finance</w:t>
      </w:r>
      <w:r>
        <w:rPr>
          <w:rFonts w:ascii="Calibri" w:hAnsi="Calibri"/>
          <w:color w:val="28323C"/>
          <w:sz w:val="19"/>
        </w:rPr>
        <w:t xml:space="preserve"> intensive (Nicole Koenigstein), which trained him in </w:t>
      </w:r>
      <w:r>
        <w:rPr>
          <w:rFonts w:ascii="Calibri" w:hAnsi="Calibri"/>
          <w:b/>
          <w:color w:val="28323C"/>
          <w:sz w:val="19"/>
        </w:rPr>
        <w:t>harness engineering</w:t>
      </w:r>
      <w:r>
        <w:rPr>
          <w:rFonts w:ascii="Calibri" w:hAnsi="Calibri"/>
          <w:color w:val="28323C"/>
          <w:sz w:val="19"/>
        </w:rPr>
        <w:t xml:space="preserve">, </w:t>
      </w:r>
      <w:r>
        <w:rPr>
          <w:rFonts w:ascii="Calibri" w:hAnsi="Calibri"/>
          <w:b/>
          <w:color w:val="28323C"/>
          <w:sz w:val="19"/>
        </w:rPr>
        <w:t>loop governance with bounded execution</w:t>
      </w:r>
      <w:r>
        <w:rPr>
          <w:rFonts w:ascii="Calibri" w:hAnsi="Calibri"/>
          <w:color w:val="28323C"/>
          <w:sz w:val="19"/>
        </w:rPr>
        <w:t xml:space="preserve">, </w:t>
      </w:r>
      <w:r>
        <w:rPr>
          <w:rFonts w:ascii="Calibri" w:hAnsi="Calibri"/>
          <w:b/>
          <w:color w:val="28323C"/>
          <w:sz w:val="19"/>
        </w:rPr>
        <w:t>trajectory observability</w:t>
      </w:r>
      <w:r>
        <w:rPr>
          <w:rFonts w:ascii="Calibri" w:hAnsi="Calibri"/>
          <w:color w:val="28323C"/>
          <w:sz w:val="19"/>
        </w:rPr>
        <w:t xml:space="preserve">, </w:t>
      </w:r>
      <w:r>
        <w:rPr>
          <w:rFonts w:ascii="Calibri" w:hAnsi="Calibri"/>
          <w:b/>
          <w:color w:val="28323C"/>
          <w:sz w:val="19"/>
        </w:rPr>
        <w:t>OWASP Top 15 Agent Vulnerability</w:t>
      </w:r>
      <w:r>
        <w:rPr>
          <w:rFonts w:ascii="Calibri" w:hAnsi="Calibri"/>
          <w:color w:val="28323C"/>
          <w:sz w:val="19"/>
        </w:rPr>
        <w:t xml:space="preserve"> hardening, and </w:t>
      </w:r>
      <w:r>
        <w:rPr>
          <w:rFonts w:ascii="Calibri" w:hAnsi="Calibri"/>
          <w:b/>
          <w:color w:val="28323C"/>
          <w:sz w:val="19"/>
        </w:rPr>
        <w:t>multi-agent coordination topologies</w:t>
      </w:r>
      <w:r>
        <w:rPr>
          <w:rFonts w:ascii="Calibri" w:hAnsi="Calibri"/>
          <w:color w:val="28323C"/>
          <w:sz w:val="19"/>
        </w:rPr>
        <w:t>—directly applicable to teaching Symetra's engineering teams how to build robust, auditable, and compliant AI workflows in an insurance environment.</w:t>
      </w:r>
    </w:p>
    <w:p>
      <w:pPr>
        <w:spacing w:before="200" w:after="80"/>
      </w:pPr>
      <w:r>
        <w:rPr>
          <w:rFonts w:ascii="Calibri" w:hAnsi="Calibri"/>
          <w:b/>
          <w:color w:val="17365D"/>
          <w:sz w:val="23"/>
        </w:rPr>
        <w:t>2. Quantitative Weighted Fit Matrix</w:t>
      </w:r>
    </w:p>
    <w:p>
      <w:pPr>
        <w:spacing w:before="200" w:after="80"/>
      </w:pPr>
      <w:r>
        <w:rPr>
          <w:rFonts w:ascii="Calibri" w:hAnsi="Calibri"/>
          <w:b/>
          <w:color w:val="17365D"/>
          <w:sz w:val="23"/>
        </w:rPr>
        <w:t>3. Requirement-by-Requirement Evidence Mapping</w:t>
      </w:r>
    </w:p>
    <w:p>
      <w:pPr>
        <w:spacing w:before="120" w:after="40"/>
      </w:pPr>
      <w:r>
        <w:rPr>
          <w:rFonts w:ascii="Calibri" w:hAnsi="Calibri"/>
          <w:b/>
          <w:color w:val="28466E"/>
          <w:sz w:val="21"/>
        </w:rPr>
        <w:t>1. AI Coding Agent Expertise — [MATCHED (EXCEEDS)]</w:t>
      </w:r>
    </w:p>
    <w:p>
      <w:pPr>
        <w:pStyle w:val="ListBullet"/>
        <w:spacing w:before="0" w:after="40"/>
      </w:pPr>
      <w:r>
        <w:rPr>
          <w:rFonts w:ascii="Calibri" w:hAnsi="Calibri"/>
          <w:color w:val="28323C"/>
          <w:sz w:val="19"/>
        </w:rPr>
      </w:r>
      <w:r>
        <w:rPr>
          <w:rFonts w:ascii="Calibri" w:hAnsi="Calibri"/>
          <w:b/>
          <w:color w:val="28323C"/>
          <w:sz w:val="19"/>
        </w:rPr>
        <w:t>Symetra Requirement:</w:t>
      </w:r>
      <w:r>
        <w:rPr>
          <w:rFonts w:ascii="Calibri" w:hAnsi="Calibri"/>
          <w:color w:val="28323C"/>
          <w:sz w:val="19"/>
        </w:rPr>
        <w:t xml:space="preserve"> Hands-on expertise with AI coding agents (Codex, Claude, Cursor) including CLI, IDE, and app workflows.</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Completed 7 OpenAI Codex bootcamps across Fundamentals, 201, and 301. Proficient in Codex CLI, IDE extension, desktop app, Plan Mode, /review, parallel Git worktrees, and automated build–test–fix loops. Also proficient in Google Antigravity and Claude Code. </w:t>
      </w:r>
      <w:r>
        <w:rPr>
          <w:rFonts w:ascii="Calibri" w:hAnsi="Calibri"/>
          <w:b/>
          <w:color w:val="28323C"/>
          <w:sz w:val="19"/>
        </w:rPr>
        <w:t>New:</w:t>
      </w:r>
      <w:r>
        <w:rPr>
          <w:rFonts w:ascii="Calibri" w:hAnsi="Calibri"/>
          <w:color w:val="28323C"/>
          <w:sz w:val="19"/>
        </w:rPr>
        <w:t xml:space="preserve"> Trained in harness engineering — the 4-layer architecture separating model proposals from deterministic policy enforcement — providing a production-grade framework to teach Symetra engineers safe agent architecture beyond basic Codex usage.</w:t>
      </w:r>
    </w:p>
    <w:p>
      <w:pPr>
        <w:spacing w:before="120" w:after="40"/>
      </w:pPr>
      <w:r>
        <w:rPr>
          <w:rFonts w:ascii="Calibri" w:hAnsi="Calibri"/>
          <w:b/>
          <w:color w:val="28466E"/>
          <w:sz w:val="21"/>
        </w:rPr>
        <w:t>2. MCP Integration &amp; Enterprise Tooling — [MATCHED (EXCEEDS)]</w:t>
      </w:r>
    </w:p>
    <w:p>
      <w:pPr>
        <w:pStyle w:val="ListBullet"/>
        <w:spacing w:before="0" w:after="40"/>
      </w:pPr>
      <w:r>
        <w:rPr>
          <w:rFonts w:ascii="Calibri" w:hAnsi="Calibri"/>
          <w:color w:val="28323C"/>
          <w:sz w:val="19"/>
        </w:rPr>
      </w:r>
      <w:r>
        <w:rPr>
          <w:rFonts w:ascii="Calibri" w:hAnsi="Calibri"/>
          <w:b/>
          <w:color w:val="28323C"/>
          <w:sz w:val="19"/>
        </w:rPr>
        <w:t>Symetra Requirement:</w:t>
      </w:r>
      <w:r>
        <w:rPr>
          <w:rFonts w:ascii="Calibri" w:hAnsi="Calibri"/>
          <w:color w:val="28323C"/>
          <w:sz w:val="19"/>
        </w:rPr>
        <w:t xml:space="preserve"> Model Context Protocol integration, enterprise tool connectivity, developer workflow standardization.</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Architected MCP servers and plugins connecting Figma, GitHub, Atlassian, and Google Workspace. Standardized agent context via AGENTS.md and reusable skill lifecycles. </w:t>
      </w:r>
      <w:r>
        <w:rPr>
          <w:rFonts w:ascii="Calibri" w:hAnsi="Calibri"/>
          <w:b/>
          <w:color w:val="28323C"/>
          <w:sz w:val="19"/>
        </w:rPr>
        <w:t>New:</w:t>
      </w:r>
      <w:r>
        <w:rPr>
          <w:rFonts w:ascii="Calibri" w:hAnsi="Calibri"/>
          <w:color w:val="28323C"/>
          <w:sz w:val="19"/>
        </w:rPr>
        <w:t xml:space="preserve"> Trained in tool contract enforcement via JSON Schema, structured output validation tiers (Strict Schema Mode → Instructor/Pydantic → Canonicalization), and zero-trust UI firewall architecture — ensuring MCP integrations in an insurance environment maintain strict data isolation.</w:t>
      </w:r>
    </w:p>
    <w:p>
      <w:pPr>
        <w:spacing w:before="120" w:after="40"/>
      </w:pPr>
      <w:r>
        <w:rPr>
          <w:rFonts w:ascii="Calibri" w:hAnsi="Calibri"/>
          <w:b/>
          <w:color w:val="28466E"/>
          <w:sz w:val="21"/>
        </w:rPr>
        <w:t>3. Developer Advocacy &amp; Technical Training — [MATCHED (EXCEEDS)]</w:t>
      </w:r>
    </w:p>
    <w:p>
      <w:pPr>
        <w:pStyle w:val="ListBullet"/>
        <w:spacing w:before="0" w:after="40"/>
      </w:pPr>
      <w:r>
        <w:rPr>
          <w:rFonts w:ascii="Calibri" w:hAnsi="Calibri"/>
          <w:color w:val="28323C"/>
          <w:sz w:val="19"/>
        </w:rPr>
      </w:r>
      <w:r>
        <w:rPr>
          <w:rFonts w:ascii="Calibri" w:hAnsi="Calibri"/>
          <w:b/>
          <w:color w:val="28323C"/>
          <w:sz w:val="19"/>
        </w:rPr>
        <w:t>Symetra Requirement:</w:t>
      </w:r>
      <w:r>
        <w:rPr>
          <w:rFonts w:ascii="Calibri" w:hAnsi="Calibri"/>
          <w:color w:val="28323C"/>
          <w:sz w:val="19"/>
        </w:rPr>
        <w:t xml:space="preserve"> Running office hours, creating best practices documentation, building demos, measuring AI adoption.</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14 years delivering cohort training to 85+ users. Authored enterprise prompting methodologies and evidence-based verification gates adopted as team onboarding standards. </w:t>
      </w:r>
      <w:r>
        <w:rPr>
          <w:rFonts w:ascii="Calibri" w:hAnsi="Calibri"/>
          <w:b/>
          <w:color w:val="28323C"/>
          <w:sz w:val="19"/>
        </w:rPr>
        <w:t>New:</w:t>
      </w:r>
      <w:r>
        <w:rPr>
          <w:rFonts w:ascii="Calibri" w:hAnsi="Calibri"/>
          <w:color w:val="28323C"/>
          <w:sz w:val="19"/>
        </w:rPr>
        <w:t xml:space="preserve"> The 6-dimension evaluation scorecard (Correctness, Grounding, Latency p95, Cost, Safety, Auditability) from the Packt course provides a rigorous framework for measuring and demonstrating AI agent quality to Symetra stakeholders — moving beyond subjective adoption surveys to evidence-based quality metrics.</w:t>
      </w:r>
    </w:p>
    <w:p>
      <w:pPr>
        <w:spacing w:before="120" w:after="40"/>
      </w:pPr>
      <w:r>
        <w:rPr>
          <w:rFonts w:ascii="Calibri" w:hAnsi="Calibri"/>
          <w:b/>
          <w:color w:val="28466E"/>
          <w:sz w:val="21"/>
        </w:rPr>
        <w:t>4. AI Governance &amp; Security (Insurance Compliance Context) — [MATCHED (EXCEEDS)]</w:t>
      </w:r>
    </w:p>
    <w:p>
      <w:pPr>
        <w:pStyle w:val="ListBullet"/>
        <w:spacing w:before="0" w:after="40"/>
      </w:pPr>
      <w:r>
        <w:rPr>
          <w:rFonts w:ascii="Calibri" w:hAnsi="Calibri"/>
          <w:color w:val="28323C"/>
          <w:sz w:val="19"/>
        </w:rPr>
      </w:r>
      <w:r>
        <w:rPr>
          <w:rFonts w:ascii="Calibri" w:hAnsi="Calibri"/>
          <w:b/>
          <w:color w:val="28323C"/>
          <w:sz w:val="19"/>
        </w:rPr>
        <w:t>Symetra Requirement:</w:t>
      </w:r>
      <w:r>
        <w:rPr>
          <w:rFonts w:ascii="Calibri" w:hAnsi="Calibri"/>
          <w:color w:val="28323C"/>
          <w:sz w:val="19"/>
        </w:rPr>
        <w:t xml:space="preserve"> Bounded permissions, safe AI workflows, compliance with insurance industry standards.</w:t>
      </w:r>
    </w:p>
    <w:p>
      <w:pPr>
        <w:pStyle w:val="ListBullet"/>
        <w:spacing w:before="0" w:after="40"/>
      </w:pPr>
      <w:r>
        <w:rPr>
          <w:rFonts w:ascii="Calibri" w:hAnsi="Calibri"/>
          <w:color w:val="28323C"/>
          <w:sz w:val="19"/>
        </w:rPr>
      </w:r>
      <w:r>
        <w:rPr>
          <w:rFonts w:ascii="Calibri" w:hAnsi="Calibri"/>
          <w:b/>
          <w:color w:val="28323C"/>
          <w:sz w:val="19"/>
        </w:rPr>
        <w:t>Evidence:</w:t>
      </w:r>
      <w:r>
        <w:rPr>
          <w:rFonts w:ascii="Calibri" w:hAnsi="Calibri"/>
          <w:color w:val="28323C"/>
          <w:sz w:val="19"/>
        </w:rPr>
        <w:t xml:space="preserve"> Built human-in-the-loop controls separating discovery, implementation, and deployment. Enforced bounded execution budgets, stop conditions, and third-party plugin security vetting. </w:t>
      </w:r>
      <w:r>
        <w:rPr>
          <w:rFonts w:ascii="Calibri" w:hAnsi="Calibri"/>
          <w:b/>
          <w:color w:val="28323C"/>
          <w:sz w:val="19"/>
        </w:rPr>
        <w:t>New:</w:t>
      </w:r>
      <w:r>
        <w:rPr>
          <w:rFonts w:ascii="Calibri" w:hAnsi="Calibri"/>
          <w:color w:val="28323C"/>
          <w:sz w:val="19"/>
        </w:rPr>
        <w:t xml:space="preserve"> Trained in OWASP Top 15 Agent Vulnerabilities (including Confused Deputy privilege escalation, Memory Poisoning, and Unexpected RCE), execution sandboxing (Docker, E2B, Pyodide/Deno), and Zero-Trust UI architecture — providing Symetra a developer advocate who can embed security-by-design principles directly into AI enablement training.</w:t>
      </w:r>
    </w:p>
    <w:p>
      <w:pPr>
        <w:spacing w:before="200" w:after="80"/>
      </w:pPr>
      <w:r>
        <w:rPr>
          <w:rFonts w:ascii="Calibri" w:hAnsi="Calibri"/>
          <w:b/>
          <w:color w:val="17365D"/>
          <w:sz w:val="23"/>
        </w:rPr>
        <w:t>4. Gap Identification &amp; Strategic Mitigation</w:t>
      </w:r>
    </w:p>
    <w:p>
      <w:pPr>
        <w:spacing w:before="200" w:after="80"/>
      </w:pPr>
      <w:r>
        <w:rPr>
          <w:rFonts w:ascii="Calibri" w:hAnsi="Calibri"/>
          <w:b/>
          <w:color w:val="17365D"/>
          <w:sz w:val="23"/>
        </w:rPr>
        <w:t>5. Recruiter Positioning Script</w:t>
      </w:r>
    </w:p>
    <w:p>
      <w:pPr>
        <w:pStyle w:val="ListBullet"/>
        <w:spacing w:before="0" w:after="40"/>
      </w:pPr>
      <w:r>
        <w:rPr>
          <w:rFonts w:ascii="Calibri" w:hAnsi="Calibri"/>
          <w:color w:val="28323C"/>
          <w:sz w:val="19"/>
        </w:rPr>
      </w:r>
      <w:r>
        <w:rPr>
          <w:rFonts w:ascii="Calibri" w:hAnsi="Calibri"/>
          <w:b/>
          <w:color w:val="28323C"/>
          <w:sz w:val="19"/>
        </w:rPr>
        <w:t>30-Second Elevator Pitch:</w:t>
      </w:r>
      <w:r>
        <w:rPr>
          <w:rFonts w:ascii="Calibri" w:hAnsi="Calibri"/>
          <w:color w:val="28323C"/>
          <w:sz w:val="19"/>
        </w:rPr>
        <w:t xml:space="preserve">  </w:t>
      </w:r>
    </w:p>
    <w:p>
      <w:pPr>
        <w:spacing w:before="0" w:after="80"/>
      </w:pPr>
      <w:r>
        <w:rPr>
          <w:rFonts w:ascii="Calibri" w:hAnsi="Calibri"/>
          <w:color w:val="28323C"/>
          <w:sz w:val="19"/>
        </w:rPr>
        <w:t xml:space="preserve">  </w:t>
      </w:r>
      <w:r>
        <w:rPr>
          <w:rFonts w:ascii="Calibri" w:hAnsi="Calibri"/>
          <w:i/>
          <w:color w:val="28323C"/>
          <w:sz w:val="19"/>
        </w:rPr>
        <w:t>"Ebenezer Rolston brings the rare combination Symetra needs: deep hands-on AI coding agent fluency (7 Codex bootcamps, Google Antigravity, Claude Code), Model Context Protocol integration expertise, and 14 years of enterprise user training and enablement at scale. His recent Packt Agentic AI for Finance intensive under Nicole Koenigstein adds production-grade harness engineering, bounded execution governance, trajectory observability, and OWASP agent security hardening — exactly the frameworks needed to teach Symetra's engineering teams how to adopt AI coding agents safely and measurably in an insurance compliance environment. He's built the prompting methodologies, verification gates, and adoption measurement scorecards that turn AI tool access into demonstrable engineering productivity."</w:t>
      </w:r>
      <w:r>
        <w:rPr>
          <w:rFonts w:ascii="Calibri" w:hAnsi="Calibri"/>
          <w:color w:val="28323C"/>
          <w:sz w:val="19"/>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