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AI Conformity Assessment • Machine Learning Systems Evaluation • Regulatory Standards &amp; Model Governance</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AI Systems and Conformity Specialist with 20+ years of technical systems engineering, compliance auditing, and machine learning evaluation experience across regulated government and enterprise environments. Combines deep expertise in AI regulatory standards — EU AI Act, ISO/IEC 42001, ISO/IEC 23894, NIST AI RMF 1.0 — with advanced hands-on data science and machine learning competencies gained through UC Berkeley ML &amp; Deep Learning with Spark - Grade A, Stanford Continuing Studies TECH 77 &amp; Python Data Analysis, Harvard SEAS LLMs &amp; Agentic AI, and the Packt Agentic AI for Finance intensive. Trained in harness engineering and trajectory observability — the 4-layer runtime architecture and 6-dimension evaluation scorecard that separate deterministic verification from non-deterministic model behavior — directly applicable to conformity assessment of production AI systems. Experienced in evaluating technical documentation, conducting model validation across supervised/unsupervised learning, neural networks, and LLMs, and identifying risk vectors in software development lifecycles. Brings 14 years supporting federal platforms at the U.S. Department of the Interior and 11 years at Acxiom architecting identity verification engines. Holds an M.S. and B.S. in Computer Science.</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AI Conformity Assessment &amp; Auditing ▪ Machine Learning Model Evaluation ▪ Regulatory Standards &amp; EU AI Act ▪ ISO 42001 &amp; NIST AI RMF ▪ Harness Engineering &amp; Deterministic Verification ▪ Trajectory Observability &amp; Audit Traceability ▪ Deep Learning &amp; Neural Networks ▪ Supervised &amp; Unsupervised Learning ▪ LLM &amp; Multimodal Architecture Assessment ▪ OWASP Agent Vulnerability Threat Modeling ▪ Risk Management &amp; AI Safety ▪ Software Development Lifecycle SDLC ▪ Structured Output Validation &amp; Schema Enforcement ▪ Technical Documentation &amp; Traceability ▪ Cross-Functional Technical Advisory</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Governance Lead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technical assessment frameworks and 4-layer verification harnesses evaluating machine learning models and generative AI systems for robustness, data drift, bias, and deterministic safety boundaries.</w:t>
      </w:r>
    </w:p>
    <w:p>
      <w:pPr>
        <w:spacing w:before="0" w:after="20" w:line="240" w:lineRule="auto"/>
        <w:ind w:left="360" w:hanging="180"/>
      </w:pPr>
      <w:r>
        <w:rPr>
          <w:color w:val="1F1F1F"/>
          <w:sz w:val="20"/>
        </w:rPr>
        <w:t xml:space="preserve">• </w:t>
      </w:r>
      <w:r>
        <w:rPr>
          <w:color w:val="1F1F1F"/>
          <w:sz w:val="18"/>
        </w:rPr>
        <w:t xml:space="preserve">Operationalized conformity assessment criteria mapped to the EU AI Act High-Risk classifications, ISO/IEC 42001 AI Management Systems, and NIST AI RMF 1.0.</w:t>
      </w:r>
    </w:p>
    <w:p>
      <w:pPr>
        <w:spacing w:before="0" w:after="20" w:line="240" w:lineRule="auto"/>
        <w:ind w:left="360" w:hanging="180"/>
      </w:pPr>
      <w:r>
        <w:rPr>
          <w:color w:val="1F1F1F"/>
          <w:sz w:val="20"/>
        </w:rPr>
        <w:t xml:space="preserve">• </w:t>
      </w:r>
      <w:r>
        <w:rPr>
          <w:color w:val="1F1F1F"/>
          <w:sz w:val="18"/>
        </w:rPr>
        <w:t xml:space="preserve">Engineered schema-governed 3-tier validation pipelines — Strict JSON Schema Mode, Instructor/Pydantic contract enforcement, and deterministic canonicalization — enforcing structured output safety on model inference.</w:t>
      </w:r>
    </w:p>
    <w:p>
      <w:pPr>
        <w:spacing w:before="0" w:after="20" w:line="240" w:lineRule="auto"/>
        <w:ind w:left="360" w:hanging="180"/>
      </w:pPr>
      <w:r>
        <w:rPr>
          <w:color w:val="1F1F1F"/>
          <w:sz w:val="20"/>
        </w:rPr>
        <w:t xml:space="preserve">• </w:t>
      </w:r>
      <w:r>
        <w:rPr>
          <w:color w:val="1F1F1F"/>
          <w:sz w:val="18"/>
        </w:rPr>
        <w:t xml:space="preserve">Built automated testing suites assessing prompt injection resistance, OWASP Top 15 agent vulnerability vectors, hallucination boundaries, and data lineage traceability across multimodal agent workflows.</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mission-critical enterprise platforms, managing compliance reviews, technical documentation, and high-availability system integrity.</w:t>
      </w:r>
    </w:p>
    <w:p>
      <w:pPr>
        <w:spacing w:before="0" w:after="20" w:line="240" w:lineRule="auto"/>
        <w:ind w:left="360" w:hanging="180"/>
      </w:pPr>
      <w:r>
        <w:rPr>
          <w:color w:val="1F1F1F"/>
          <w:sz w:val="20"/>
        </w:rPr>
        <w:t xml:space="preserve">• </w:t>
      </w:r>
      <w:r>
        <w:rPr>
          <w:color w:val="1F1F1F"/>
          <w:sz w:val="18"/>
        </w:rPr>
        <w:t xml:space="preserve">Conducted root-cause technical investigations and data audits across interconnected platforms, assuring adherence to federal regulatory standards and cybersecurity directives.</w:t>
      </w:r>
    </w:p>
    <w:p>
      <w:pPr>
        <w:spacing w:before="0" w:after="20" w:line="240" w:lineRule="auto"/>
        <w:ind w:left="360" w:hanging="180"/>
      </w:pPr>
      <w:r>
        <w:rPr>
          <w:color w:val="1F1F1F"/>
          <w:sz w:val="20"/>
        </w:rPr>
        <w:t xml:space="preserve">• </w:t>
      </w:r>
      <w:r>
        <w:rPr>
          <w:color w:val="1F1F1F"/>
          <w:sz w:val="18"/>
        </w:rPr>
        <w:t xml:space="preserve">Authored system compliance documentation, standard operating procedures, and audit response artifacts for federal oversight bodies.</w:t>
      </w:r>
    </w:p>
    <w:p>
      <w:pPr>
        <w:spacing w:before="40" w:after="10" w:line="240" w:lineRule="auto"/>
      </w:pPr>
      <w:r>
        <w:rPr>
          <w:b/>
          <w:color w:val="17365D"/>
          <w:sz w:val="18"/>
        </w:rPr>
        <w:t xml:space="preserve">Senior Technical Systems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technical systems support, architecture validation &amp; compliance review</w:t>
      </w:r>
    </w:p>
    <w:p>
      <w:pPr>
        <w:spacing w:before="0" w:after="20" w:line="240" w:lineRule="auto"/>
        <w:ind w:left="360" w:hanging="180"/>
      </w:pPr>
      <w:r>
        <w:rPr>
          <w:color w:val="1F1F1F"/>
          <w:sz w:val="20"/>
        </w:rPr>
        <w:t xml:space="preserve">• </w:t>
      </w:r>
      <w:r>
        <w:rPr>
          <w:color w:val="1F1F1F"/>
          <w:sz w:val="18"/>
        </w:rPr>
        <w:t xml:space="preserve">Department ETL Architect for the multi-agency FBMS conversion, validating data integrity, schema normalization, and system transformations across 4 federal agencies.</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deep root-cause analysis to eliminate recurring defects.</w:t>
      </w:r>
    </w:p>
    <w:p>
      <w:pPr>
        <w:spacing w:before="0" w:after="20" w:line="240" w:lineRule="auto"/>
        <w:ind w:left="360" w:hanging="180"/>
      </w:pPr>
      <w:r>
        <w:rPr>
          <w:color w:val="1F1F1F"/>
          <w:sz w:val="20"/>
        </w:rPr>
        <w:t xml:space="preserve">• </w:t>
      </w:r>
      <w:r>
        <w:rPr>
          <w:color w:val="1F1F1F"/>
          <w:sz w:val="18"/>
        </w:rPr>
        <w:t xml:space="preserve">Developed automated SQL reconciliation frameworks comparing pre- and post-migration system states to verify complete data fidelity and traceability.</w:t>
      </w:r>
    </w:p>
    <w:p>
      <w:pPr>
        <w:spacing w:before="0" w:after="20" w:line="240" w:lineRule="auto"/>
        <w:ind w:left="360" w:hanging="180"/>
      </w:pPr>
      <w:r>
        <w:rPr>
          <w:color w:val="1F1F1F"/>
          <w:sz w:val="20"/>
        </w:rPr>
        <w:t xml:space="preserve">• </w:t>
      </w:r>
      <w:r>
        <w:rPr>
          <w:color w:val="1F1F1F"/>
          <w:sz w:val="18"/>
        </w:rPr>
        <w:t xml:space="preserve">Reviewed technical specifications, system architecture documents, and test reports to ensure compliance with federal security and procurement regulations.</w:t>
      </w:r>
    </w:p>
    <w:p>
      <w:pPr>
        <w:spacing w:before="40" w:after="10" w:line="240" w:lineRule="auto"/>
      </w:pPr>
      <w:r>
        <w:rPr>
          <w:b/>
          <w:color w:val="17365D"/>
          <w:sz w:val="18"/>
        </w:rPr>
        <w:t xml:space="preserve">Senior Solutions Architect / Systems Analyst | Acxiom Corporation </w:t>
      </w:r>
      <w:r>
        <w:rPr>
          <w:i/>
          <w:color w:val="4A4A4A"/>
          <w:sz w:val="17"/>
        </w:rPr>
        <w:t xml:space="preserve">Conway, AR | 2000–2011</w:t>
      </w:r>
    </w:p>
    <w:p>
      <w:pPr>
        <w:spacing w:before="0" w:after="20" w:line="240" w:lineRule="auto"/>
      </w:pPr>
      <w:r>
        <w:rPr>
          <w:i/>
          <w:color w:val="4A4A4A"/>
          <w:sz w:val="17"/>
        </w:rPr>
        <w:t xml:space="preserve">11-year progressive leadership in large-scale data systems, algorithmic scoring &amp; validation</w:t>
      </w:r>
    </w:p>
    <w:p>
      <w:pPr>
        <w:spacing w:before="0" w:after="20" w:line="240" w:lineRule="auto"/>
        <w:ind w:left="360" w:hanging="180"/>
      </w:pPr>
      <w:r>
        <w:rPr>
          <w:color w:val="1F1F1F"/>
          <w:sz w:val="20"/>
        </w:rPr>
        <w:t xml:space="preserve">• </w:t>
      </w:r>
      <w:r>
        <w:rPr>
          <w:color w:val="1F1F1F"/>
          <w:sz w:val="18"/>
        </w:rPr>
        <w:t xml:space="preserve">Architected enterprise identity matching pipelines, evaluating algorithmic scoring rules and entity resolution models across massive transaction databases.</w:t>
      </w:r>
    </w:p>
    <w:p>
      <w:pPr>
        <w:spacing w:before="0" w:after="20" w:line="240" w:lineRule="auto"/>
        <w:ind w:left="360" w:hanging="180"/>
      </w:pPr>
      <w:r>
        <w:rPr>
          <w:color w:val="1F1F1F"/>
          <w:sz w:val="20"/>
        </w:rPr>
        <w:t xml:space="preserve">• </w:t>
      </w:r>
      <w:r>
        <w:rPr>
          <w:color w:val="1F1F1F"/>
          <w:sz w:val="18"/>
        </w:rPr>
        <w:t xml:space="preserve">Conducted rigorous data quality profiling, risk assessments, and model performance audits to ensure compliance with data governance and privacy policies.</w:t>
      </w:r>
    </w:p>
    <w:p>
      <w:pPr>
        <w:spacing w:before="0" w:after="20" w:line="240" w:lineRule="auto"/>
        <w:ind w:left="360" w:hanging="180"/>
      </w:pPr>
      <w:r>
        <w:rPr>
          <w:color w:val="1F1F1F"/>
          <w:sz w:val="20"/>
        </w:rPr>
        <w:t xml:space="preserve">• </w:t>
      </w:r>
      <w:r>
        <w:rPr>
          <w:color w:val="1F1F1F"/>
          <w:sz w:val="18"/>
        </w:rPr>
        <w:t xml:space="preserve">SME on the Software Methodology Board, establishing company-wide SDLC governance and evaluation standards.</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40" w:after="10" w:line="240" w:lineRule="auto"/>
      </w:pPr>
      <w:r>
        <w:rPr>
          <w:b/>
          <w:color w:val="17365D"/>
          <w:sz w:val="18"/>
        </w:rPr>
        <w:t xml:space="preserve">Trading Copilot — Governed Multi-Agent Research Platform </w:t>
      </w:r>
      <w:r>
        <w:rPr>
          <w:i/>
          <w:color w:val="4A4A4A"/>
          <w:sz w:val="17"/>
        </w:rPr>
        <w:t xml:space="preserve">Agentic AI for Finance —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in LangGraph combining hierarchical supervisor and peer-to-peer topologies with bounded execution budgets and deterministic state machine transitions.</w:t>
      </w:r>
    </w:p>
    <w:p>
      <w:pPr>
        <w:spacing w:before="0" w:after="20" w:line="240" w:lineRule="auto"/>
        <w:ind w:left="360" w:hanging="180"/>
      </w:pPr>
      <w:r>
        <w:rPr>
          <w:color w:val="1F1F1F"/>
          <w:sz w:val="20"/>
        </w:rPr>
        <w:t xml:space="preserve">• </w:t>
      </w:r>
      <w:r>
        <w:rPr>
          <w:color w:val="1F1F1F"/>
          <w:sz w:val="18"/>
        </w:rPr>
        <w:t xml:space="preserve">Implemented 4-layer harness architecture separating non-deterministic model proposals from deterministic policy enforcement, tool contracts, and zero-trust sandbox execution.</w:t>
      </w:r>
    </w:p>
    <w:p>
      <w:pPr>
        <w:spacing w:before="0" w:after="20" w:line="240" w:lineRule="auto"/>
        <w:ind w:left="360" w:hanging="180"/>
      </w:pPr>
      <w:r>
        <w:rPr>
          <w:color w:val="1F1F1F"/>
          <w:sz w:val="20"/>
        </w:rPr>
        <w:t xml:space="preserve">• </w:t>
      </w:r>
      <w:r>
        <w:rPr>
          <w:color w:val="1F1F1F"/>
          <w:sz w:val="18"/>
        </w:rPr>
        <w:t xml:space="preserve">Integrated 6-measure trajectory observability — Correctness, Grounding, Latency p95, Cost, Safety, Auditability — via OpenTelemetry and self-hosted Langfuse to audit multi-step reasoning paths.</w:t>
      </w:r>
    </w:p>
    <w:p>
      <w:pPr>
        <w:spacing w:before="0" w:after="20" w:line="240" w:lineRule="auto"/>
        <w:ind w:left="360" w:hanging="180"/>
      </w:pPr>
      <w:r>
        <w:rPr>
          <w:color w:val="1F1F1F"/>
          <w:sz w:val="20"/>
        </w:rPr>
        <w:t xml:space="preserve">• </w:t>
      </w:r>
      <w:r>
        <w:rPr>
          <w:color w:val="1F1F1F"/>
          <w:sz w:val="18"/>
        </w:rPr>
        <w:t xml:space="preserve">Engineered multimodal financial parsing for SEC filings and earnings calls, combining tabular footing reconciliation, audio speaker diarization, and foundation time-series forecasting with calibrated predictive quantile distributions.</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TECH 77 | 2026</w:t>
      </w:r>
    </w:p>
    <w:p>
      <w:pPr>
        <w:spacing w:before="0" w:after="20" w:line="240" w:lineRule="auto"/>
        <w:ind w:left="360" w:hanging="180"/>
      </w:pPr>
      <w:r>
        <w:rPr>
          <w:color w:val="1F1F1F"/>
          <w:sz w:val="20"/>
        </w:rPr>
        <w:t xml:space="preserve">• </w:t>
      </w:r>
      <w:r>
        <w:rPr>
          <w:color w:val="1F1F1F"/>
          <w:sz w:val="18"/>
        </w:rPr>
        <w:t xml:space="preserve">Benchmarked Vision Language Models, Document Transformers, and OCR baselines on unstructured business records, analyzing failure modes, hallucination rates, and confidence-score calibration.</w:t>
      </w:r>
    </w:p>
    <w:p>
      <w:pPr>
        <w:spacing w:before="0" w:after="20" w:line="240" w:lineRule="auto"/>
        <w:ind w:left="360" w:hanging="180"/>
      </w:pPr>
      <w:r>
        <w:rPr>
          <w:color w:val="1F1F1F"/>
          <w:sz w:val="20"/>
        </w:rPr>
        <w:t xml:space="preserve">• </w:t>
      </w:r>
      <w:r>
        <w:rPr>
          <w:color w:val="1F1F1F"/>
          <w:sz w:val="18"/>
        </w:rPr>
        <w:t xml:space="preserve">Architected LangGraph StateGraph conditional routing with strict Pydantic validation and prompt-injection anomaly gating, enforcing verifiable human-in-the-loop escalation paths.</w:t>
      </w:r>
    </w:p>
    <w:p>
      <w:pPr>
        <w:spacing w:before="100" w:after="40" w:line="240" w:lineRule="auto"/>
        <w:pBdr>
          <w:bottom w:val="single" w:sz="6" w:space="4" w:color="17365D"/>
        </w:pBdr>
      </w:pPr>
      <w:r>
        <w:rPr>
          <w:rFonts w:ascii="Times New Roman" w:hAnsi="Times New Roman"/>
          <w:b/>
          <w:color w:val="17365D"/>
          <w:sz w:val="20"/>
        </w:rPr>
        <w:t xml:space="preserve">APPLIED MACHINE LEARNING &amp; AI SYSTEMS EVALUATION</w:t>
      </w:r>
    </w:p>
    <w:p>
      <w:pPr>
        <w:spacing w:before="40" w:after="10" w:line="240" w:lineRule="auto"/>
      </w:pPr>
      <w:r>
        <w:rPr>
          <w:b/>
          <w:color w:val="17365D"/>
          <w:sz w:val="18"/>
        </w:rPr>
        <w:t xml:space="preserve">Distributed Machine Learning &amp; Deep Learning with Spark | UC Berkeley Extension — COMPSCI X433.7, Grade A</w:t>
      </w:r>
    </w:p>
    <w:p>
      <w:pPr>
        <w:spacing w:before="0" w:after="20" w:line="240" w:lineRule="auto"/>
        <w:ind w:left="360" w:hanging="180"/>
      </w:pPr>
      <w:r>
        <w:rPr>
          <w:color w:val="1F1F1F"/>
          <w:sz w:val="20"/>
        </w:rPr>
        <w:t xml:space="preserve">• </w:t>
      </w:r>
      <w:r>
        <w:rPr>
          <w:color w:val="1F1F1F"/>
          <w:sz w:val="18"/>
        </w:rPr>
        <w:t xml:space="preserve">Engineered and validated distributed machine learning pipelines with PySpark and Spark MLlib, evaluating neural networks, supervised and unsupervised classifiers, regression models, and clustering algorithms across large-scale datasets.</w:t>
      </w:r>
    </w:p>
    <w:p>
      <w:pPr>
        <w:spacing w:before="0" w:after="20" w:line="240" w:lineRule="auto"/>
        <w:ind w:left="360" w:hanging="180"/>
      </w:pPr>
      <w:r>
        <w:rPr>
          <w:color w:val="1F1F1F"/>
          <w:sz w:val="20"/>
        </w:rPr>
        <w:t xml:space="preserve">• </w:t>
      </w:r>
      <w:r>
        <w:rPr>
          <w:color w:val="1F1F1F"/>
          <w:sz w:val="18"/>
        </w:rPr>
        <w:t xml:space="preserve">Conducted hyperparameter tuning, cross-validation, and error surface analysis to measure model variance, bias, and generalizability under rigorous statistical criteria.</w:t>
      </w:r>
    </w:p>
    <w:p>
      <w:pPr>
        <w:spacing w:before="40" w:after="10" w:line="240" w:lineRule="auto"/>
      </w:pPr>
      <w:r>
        <w:rPr>
          <w:b/>
          <w:color w:val="17365D"/>
          <w:sz w:val="18"/>
        </w:rPr>
        <w:t xml:space="preserve">End-to-End AI System Deployment &amp; Robustness Testing | Oxford Machine Learning Institute — MLx Cases 2026</w:t>
      </w:r>
    </w:p>
    <w:p>
      <w:pPr>
        <w:spacing w:before="0" w:after="20" w:line="240" w:lineRule="auto"/>
        <w:ind w:left="360" w:hanging="180"/>
      </w:pPr>
      <w:r>
        <w:rPr>
          <w:color w:val="1F1F1F"/>
          <w:sz w:val="20"/>
        </w:rPr>
        <w:t xml:space="preserve">• </w:t>
      </w:r>
      <w:r>
        <w:rPr>
          <w:color w:val="1F1F1F"/>
          <w:sz w:val="18"/>
        </w:rPr>
        <w:t xml:space="preserve">Participated in hands-on system building and assessment modules, evaluating production AI architectures for latency bottlenecks, boundary failure modes, and monitoring instrumentation.</w:t>
      </w:r>
    </w:p>
    <w:p>
      <w:pPr>
        <w:spacing w:before="100" w:after="40" w:line="240" w:lineRule="auto"/>
        <w:pBdr>
          <w:bottom w:val="single" w:sz="6" w:space="4" w:color="17365D"/>
        </w:pBdr>
      </w:pPr>
      <w:r>
        <w:rPr>
          <w:rFonts w:ascii="Times New Roman" w:hAnsi="Times New Roman"/>
          <w:b/>
          <w:color w:val="17365D"/>
          <w:sz w:val="20"/>
        </w:rPr>
        <w:t xml:space="preserve">EDUCATION &amp; PROFESSIONAL CREDENTIALS</w:t>
      </w:r>
    </w:p>
    <w:p>
      <w:pPr>
        <w:spacing w:before="0" w:after="20" w:line="240" w:lineRule="auto"/>
        <w:ind w:left="360" w:hanging="180"/>
      </w:pPr>
      <w:r>
        <w:rPr>
          <w:color w:val="1F1F1F"/>
          <w:sz w:val="20"/>
        </w:rPr>
        <w:t xml:space="preserve">• </w:t>
      </w:r>
      <w:r>
        <w:rPr>
          <w:b/>
          <w:color w:val="1F1F1F"/>
          <w:sz w:val="18"/>
        </w:rPr>
        <w:t xml:space="preserve">OpenAI Codex:</w:t>
      </w:r>
      <w:r>
        <w:rPr>
          <w:color w:val="1F1F1F"/>
          <w:sz w:val="18"/>
        </w:rPr>
        <w:t xml:space="preserve"> Agent Orchestration • MCP Integration • Context Engineering — Completed 7 intensive bootcamps across Fundamentals, Codex 201, and Codex 301 covering Plan Mode, parallel worktrees, runtime hooks, and automated build–test–fix loops</w:t>
      </w:r>
    </w:p>
    <w:p>
      <w:pPr>
        <w:spacing w:before="0" w:after="20" w:line="240" w:lineRule="auto"/>
        <w:ind w:left="360" w:hanging="180"/>
      </w:pPr>
      <w:r>
        <w:rPr>
          <w:color w:val="1F1F1F"/>
          <w:sz w:val="20"/>
        </w:rPr>
        <w:t xml:space="preserve">• </w:t>
      </w:r>
      <w:r>
        <w:rPr>
          <w:b/>
          <w:color w:val="1F1F1F"/>
          <w:sz w:val="18"/>
        </w:rPr>
        <w:t xml:space="preserve">Packt Certificate Course:</w:t>
      </w:r>
      <w:r>
        <w:rPr>
          <w:color w:val="1F1F1F"/>
          <w:sz w:val="18"/>
        </w:rPr>
        <w:t xml:space="preserve"> Agentic AI for Finance — Nicole Koenigstein — Harness Engineering • Multi-Agent Topologies • Trajectory Observability • OWASP Agent Vulnerabilities • Structured Output Validation</w:t>
      </w:r>
    </w:p>
    <w:p>
      <w:pPr>
        <w:spacing w:before="0" w:after="20" w:line="240" w:lineRule="auto"/>
        <w:ind w:left="360" w:hanging="180"/>
      </w:pPr>
      <w:r>
        <w:rPr>
          <w:color w:val="1F1F1F"/>
          <w:sz w:val="20"/>
        </w:rPr>
        <w:t xml:space="preserve">• </w:t>
      </w:r>
      <w:r>
        <w:rPr>
          <w:b/>
          <w:color w:val="1F1F1F"/>
          <w:sz w:val="18"/>
        </w:rPr>
        <w:t xml:space="preserve">M.S. &amp; B.S. in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Machine Learning and Deep Learning with Spark — COMPSCI X433.7, Grade A:</w:t>
      </w:r>
      <w:r>
        <w:rPr>
          <w:color w:val="1F1F1F"/>
          <w:sz w:val="18"/>
        </w:rPr>
        <w:t xml:space="preserve"> UC Berkeley Extension</w:t>
      </w:r>
    </w:p>
    <w:p>
      <w:pPr>
        <w:spacing w:before="0" w:after="20" w:line="240" w:lineRule="auto"/>
        <w:ind w:left="360" w:hanging="180"/>
      </w:pPr>
      <w:r>
        <w:rPr>
          <w:color w:val="1F1F1F"/>
          <w:sz w:val="20"/>
        </w:rPr>
        <w:t xml:space="preserve">• </w:t>
      </w:r>
      <w:r>
        <w:rPr>
          <w:b/>
          <w:color w:val="1F1F1F"/>
          <w:sz w:val="18"/>
        </w:rPr>
        <w:t xml:space="preserve">TECH 77: Modern AI Architectures &amp; Data Analysis with Python:</w:t>
      </w:r>
      <w:r>
        <w:rPr>
          <w:color w:val="1F1F1F"/>
          <w:sz w:val="18"/>
        </w:rPr>
        <w:t xml:space="preserve"> Stanford Continuing Studies</w:t>
      </w:r>
    </w:p>
    <w:p>
      <w:pPr>
        <w:spacing w:before="0" w:after="20" w:line="240" w:lineRule="auto"/>
        <w:ind w:left="360" w:hanging="180"/>
      </w:pPr>
      <w:r>
        <w:rPr>
          <w:color w:val="1F1F1F"/>
          <w:sz w:val="20"/>
        </w:rPr>
        <w:t xml:space="preserve">• </w:t>
      </w:r>
      <w:r>
        <w:rPr>
          <w:b/>
          <w:color w:val="1F1F1F"/>
          <w:sz w:val="18"/>
        </w:rPr>
        <w:t xml:space="preserve">Graduate Certificate in AI Strategy &amp; Applications in IT:</w:t>
      </w:r>
      <w:r>
        <w:rPr>
          <w:color w:val="1F1F1F"/>
          <w:sz w:val="18"/>
        </w:rPr>
        <w:t xml:space="preserve"> University of Denver</w:t>
      </w:r>
    </w:p>
    <w:p>
      <w:pPr>
        <w:spacing w:before="0" w:after="20" w:line="240" w:lineRule="auto"/>
        <w:ind w:left="360" w:hanging="180"/>
      </w:pPr>
      <w:r>
        <w:rPr>
          <w:color w:val="1F1F1F"/>
          <w:sz w:val="20"/>
        </w:rPr>
        <w:t xml:space="preserve">• </w:t>
      </w:r>
      <w:r>
        <w:rPr>
          <w:b/>
          <w:color w:val="1F1F1F"/>
          <w:sz w:val="18"/>
        </w:rPr>
        <w:t xml:space="preserve">Executive Certificate — LLMs: Transformer to Agentic AI:</w:t>
      </w:r>
      <w:r>
        <w:rPr>
          <w:color w:val="1F1F1F"/>
          <w:sz w:val="18"/>
        </w:rPr>
        <w:t xml:space="preserve"> Harvard John A. Paulson SEAS</w:t>
      </w:r>
    </w:p>
    <w:p>
      <w:pPr>
        <w:spacing w:before="0" w:after="20" w:line="240" w:lineRule="auto"/>
        <w:ind w:left="360" w:hanging="180"/>
      </w:pPr>
      <w:r>
        <w:rPr>
          <w:color w:val="1F1F1F"/>
          <w:sz w:val="20"/>
        </w:rPr>
        <w:t xml:space="preserve">• </w:t>
      </w:r>
      <w:r>
        <w:rPr>
          <w:b/>
          <w:color w:val="1F1F1F"/>
          <w:sz w:val="18"/>
        </w:rPr>
        <w:t xml:space="preserve">AI Governance &amp; Privacy Frameworks — NIST AI RMF, ISO 42001:</w:t>
      </w:r>
      <w:r>
        <w:rPr>
          <w:color w:val="1F1F1F"/>
          <w:sz w:val="18"/>
        </w:rPr>
        <w:t xml:space="preserve"> AI Tech and Privacy Academy</w:t>
      </w:r>
    </w:p>
    <w:p>
      <w:pPr>
        <w:spacing w:before="0" w:after="20" w:line="240" w:lineRule="auto"/>
        <w:ind w:left="360" w:hanging="180"/>
      </w:pPr>
      <w:r>
        <w:rPr>
          <w:color w:val="1F1F1F"/>
          <w:sz w:val="20"/>
        </w:rPr>
        <w:t xml:space="preserve">• </w:t>
      </w:r>
      <w:r>
        <w:rPr>
          <w:b/>
          <w:color w:val="1F1F1F"/>
          <w:sz w:val="18"/>
        </w:rPr>
        <w:t xml:space="preserve">MLx Cases 2026: Applied AI Systems Building:</w:t>
      </w:r>
      <w:r>
        <w:rPr>
          <w:color w:val="1F1F1F"/>
          <w:sz w:val="18"/>
        </w:rPr>
        <w:t xml:space="preserve"> Oxford Machine Learning Institute</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100" w:after="40" w:line="240" w:lineRule="auto"/>
        <w:pBdr>
          <w:bottom w:val="single" w:sz="6" w:space="4" w:color="17365D"/>
        </w:pBdr>
      </w:pPr>
      <w:r>
        <w:rPr>
          <w:rFonts w:ascii="Times New Roman" w:hAnsi="Times New Roman"/>
          <w:b/>
          <w:color w:val="17365D"/>
          <w:sz w:val="20"/>
        </w:rPr>
        <w:t xml:space="preserve">TECHNICAL &amp; CONFORMITY PROFICIENCIES</w:t>
      </w:r>
    </w:p>
    <w:p>
      <w:pPr>
        <w:spacing w:before="0" w:after="20" w:line="240" w:lineRule="auto"/>
        <w:ind w:left="360" w:hanging="180"/>
      </w:pPr>
      <w:r>
        <w:rPr>
          <w:color w:val="1F1F1F"/>
          <w:sz w:val="20"/>
        </w:rPr>
        <w:t xml:space="preserve">• </w:t>
      </w:r>
      <w:r>
        <w:rPr>
          <w:b/>
          <w:color w:val="1F1F1F"/>
          <w:sz w:val="18"/>
        </w:rPr>
        <w:t xml:space="preserve">AI Regulations, Standards &amp; Notified Body Criteria:</w:t>
      </w:r>
      <w:r>
        <w:rPr>
          <w:color w:val="1F1F1F"/>
          <w:sz w:val="18"/>
        </w:rPr>
        <w:t xml:space="preserve"> EU AI Act High-Risk Requirements • ISO/IEC 42001 AI Management Systems • ISO/IEC 23894 Risk Management • NIST AI RMF 1.0 • CE Marking Technical Documentation • Conformity Assessment Procedures</w:t>
      </w:r>
    </w:p>
    <w:p>
      <w:pPr>
        <w:spacing w:before="0" w:after="20" w:line="240" w:lineRule="auto"/>
        <w:ind w:left="360" w:hanging="180"/>
      </w:pPr>
      <w:r>
        <w:rPr>
          <w:color w:val="1F1F1F"/>
          <w:sz w:val="20"/>
        </w:rPr>
        <w:t xml:space="preserve">• </w:t>
      </w:r>
      <w:r>
        <w:rPr>
          <w:b/>
          <w:color w:val="1F1F1F"/>
          <w:sz w:val="18"/>
        </w:rPr>
        <w:t xml:space="preserve">AI System Evaluation &amp; Harness Engineering:</w:t>
      </w:r>
      <w:r>
        <w:rPr>
          <w:color w:val="1F1F1F"/>
          <w:sz w:val="18"/>
        </w:rPr>
        <w:t xml:space="preserve"> 4-Layer Harness Architecture • Trajectory Observability &amp; 6-Dimension Scorecard • OpenTelemetry GenAI Semantic Conventions • Langfuse &amp; LangSmith Tracing • OWASP Top 15 Agent Vulnerability Assessment • Confused Deputy &amp; Privilege Escalation Defense • 3-Tier Structured Output Validation • Loop Engineering &amp; Bounded Execution Verification</w:t>
      </w:r>
    </w:p>
    <w:p>
      <w:pPr>
        <w:spacing w:before="0" w:after="20" w:line="240" w:lineRule="auto"/>
        <w:ind w:left="360" w:hanging="180"/>
      </w:pPr>
      <w:r>
        <w:rPr>
          <w:color w:val="1F1F1F"/>
          <w:sz w:val="20"/>
        </w:rPr>
        <w:t xml:space="preserve">• </w:t>
      </w:r>
      <w:r>
        <w:rPr>
          <w:b/>
          <w:color w:val="1F1F1F"/>
          <w:sz w:val="18"/>
        </w:rPr>
        <w:t xml:space="preserve">Machine Learning &amp; Deep Learning Architectures:</w:t>
      </w:r>
      <w:r>
        <w:rPr>
          <w:color w:val="1F1F1F"/>
          <w:sz w:val="18"/>
        </w:rPr>
        <w:t xml:space="preserve"> Supervised &amp; Unsupervised Learning • Neural Networks &amp; Deep Learning • Classification &amp; Regression • Clustering • PySpark &amp; Spark MLlib • Large Language Models • Vision Language Models • Document Transformers • Foundation Time-Series Models • Probabilistic Methods</w:t>
      </w:r>
    </w:p>
    <w:p>
      <w:pPr>
        <w:spacing w:before="0" w:after="20" w:line="240" w:lineRule="auto"/>
        <w:ind w:left="360" w:hanging="180"/>
      </w:pPr>
      <w:r>
        <w:rPr>
          <w:color w:val="1F1F1F"/>
          <w:sz w:val="20"/>
        </w:rPr>
        <w:t xml:space="preserve">• </w:t>
      </w:r>
      <w:r>
        <w:rPr>
          <w:b/>
          <w:color w:val="1F1F1F"/>
          <w:sz w:val="18"/>
        </w:rPr>
        <w:t xml:space="preserve">Model Evaluation, Testing &amp; Validation:</w:t>
      </w:r>
      <w:r>
        <w:rPr>
          <w:color w:val="1F1F1F"/>
          <w:sz w:val="18"/>
        </w:rPr>
        <w:t xml:space="preserve"> Model Performance Metrics — ROC-AUC, Precision, Recall, F1 • Cross-Validation &amp; Hyperparameter Optimization • Data Drift &amp; Distribution Shifts • Algorithmic Bias &amp; Fairness Auditing • Adversarial &amp; Prompt Injection Testing • Hallucination Gating • Benchmark Contamination Defense</w:t>
      </w:r>
    </w:p>
    <w:p>
      <w:pPr>
        <w:spacing w:before="0" w:after="20" w:line="240" w:lineRule="auto"/>
        <w:ind w:left="360" w:hanging="180"/>
      </w:pPr>
      <w:r>
        <w:rPr>
          <w:color w:val="1F1F1F"/>
          <w:sz w:val="20"/>
        </w:rPr>
        <w:t xml:space="preserve">• </w:t>
      </w:r>
      <w:r>
        <w:rPr>
          <w:b/>
          <w:color w:val="1F1F1F"/>
          <w:sz w:val="18"/>
        </w:rPr>
        <w:t xml:space="preserve">Software Engineering, SDLC &amp; Governance:</w:t>
      </w:r>
      <w:r>
        <w:rPr>
          <w:color w:val="1F1F1F"/>
          <w:sz w:val="18"/>
        </w:rPr>
        <w:t xml:space="preserve"> Python — Pandas, NumPy, Scikit-Learn • Pydantic Contract Enforcement • FastAPI • LangGraph StateGraph FSM and HSM • Docker &amp; E2B Sandboxing • REST API &amp; JSON Schema • Git &amp; GitHub • Relational SQL</w:t>
      </w:r>
    </w:p>
    <w:p>
      <w:pPr>
        <w:spacing w:before="0" w:after="20" w:line="240" w:lineRule="auto"/>
        <w:ind w:left="360" w:hanging="180"/>
      </w:pPr>
      <w:r>
        <w:rPr>
          <w:color w:val="1F1F1F"/>
          <w:sz w:val="20"/>
        </w:rPr>
        <w:t xml:space="preserve">• </w:t>
      </w:r>
      <w:r>
        <w:rPr>
          <w:b/>
          <w:color w:val="1F1F1F"/>
          <w:sz w:val="18"/>
        </w:rPr>
        <w:t xml:space="preserve">Technical Advisory &amp; Stakeholder Communication:</w:t>
      </w:r>
      <w:r>
        <w:rPr>
          <w:color w:val="1F1F1F"/>
          <w:sz w:val="18"/>
        </w:rPr>
        <w:t xml:space="preserve"> Conformity Assessment Technical Reporting • Client Technical Consultation • Internal Team Mentoring • Cross-Functional Consensus Building • Standard Operating Procedures • Auditable Work Product Authoring</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