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0" w:line="240" w:lineRule="auto"/>
      </w:pPr>
      <w:r>
        <w:rPr>
          <w:rFonts w:ascii="Times New Roman" w:hAnsi="Times New Roman"/>
          <w:b/>
          <w:color w:val="17365D"/>
          <w:sz w:val="36"/>
        </w:rPr>
        <w:t xml:space="preserve">Ebenezer J. Rolston</w:t>
      </w:r>
    </w:p>
    <w:p>
      <w:pPr>
        <w:jc w:val="center"/>
        <w:spacing w:before="0" w:after="30" w:line="240" w:lineRule="auto"/>
      </w:pPr>
      <w:r>
        <w:rPr>
          <w:rFonts w:ascii="Times New Roman" w:hAnsi="Times New Roman"/>
          <w:b/>
          <w:color w:val="17365D"/>
          <w:sz w:val="19"/>
        </w:rPr>
        <w:t xml:space="preserve">Identity Analytics • Customer Data Integration • Business Management System</w:t>
      </w:r>
    </w:p>
    <w:p>
      <w:pPr>
        <w:jc w:val="center"/>
        <w:spacing w:before="0" w:after="80" w:line="240" w:lineRule="auto"/>
      </w:pPr>
      <w:r>
        <w:rPr>
          <w:color w:val="1F1F1F"/>
          <w:sz w:val="18"/>
        </w:rPr>
        <w:t xml:space="preserve">Denver, CO • eberolston@yahoo.com • 501-307-3237 • </w:t>
      </w:r>
      <w:hyperlink r:id="rIdHyperlink1">
        <w:r>
          <w:rPr>
            <w:b/>
            <w:color w:val="17365D"/>
            <w:sz w:val="18"/>
            <w:u w:val="single"/>
          </w:rPr>
          <w:t xml:space="preserve">LinkedIn</w:t>
        </w:r>
      </w:hyperlink>
      <w:r>
        <w:rPr>
          <w:color w:val="1F1F1F"/>
          <w:sz w:val="18"/>
        </w:rPr>
        <w:t xml:space="preserve"> • </w:t>
      </w:r>
      <w:hyperlink r:id="rIdHyperlink2">
        <w:r>
          <w:rPr>
            <w:b/>
            <w:color w:val="17365D"/>
            <w:sz w:val="18"/>
            <w:u w:val="single"/>
          </w:rPr>
          <w:t xml:space="preserve">GitHub</w:t>
        </w:r>
      </w:hyperlink>
      <w:r>
        <w:rPr>
          <w:color w:val="1F1F1F"/>
          <w:sz w:val="18"/>
        </w:rPr>
        <w:t xml:space="preserve"> • </w:t>
      </w:r>
      <w:hyperlink r:id="rIdHyperlink3">
        <w:r>
          <w:rPr>
            <w:b/>
            <w:color w:val="17365D"/>
            <w:sz w:val="18"/>
            <w:u w:val="single"/>
          </w:rPr>
          <w:t xml:space="preserve">AI Guardians</w:t>
        </w:r>
      </w:hyperlink>
    </w:p>
    <w:p>
      <w:pPr>
        <w:spacing w:before="100" w:after="40" w:line="240" w:lineRule="auto"/>
        <w:pBdr>
          <w:bottom w:val="single" w:sz="6" w:space="4" w:color="17365D"/>
        </w:pBdr>
      </w:pPr>
      <w:r>
        <w:rPr>
          <w:rFonts w:ascii="Times New Roman" w:hAnsi="Times New Roman"/>
          <w:b/>
          <w:color w:val="17365D"/>
          <w:sz w:val="20"/>
        </w:rPr>
        <w:t xml:space="preserve">PROFESSIONAL SUMMARY</w:t>
      </w:r>
    </w:p>
    <w:p>
      <w:pPr>
        <w:spacing w:before="0" w:after="40" w:line="240" w:lineRule="auto"/>
      </w:pPr>
      <w:r>
        <w:rPr>
          <w:color w:val="1F1F1F"/>
          <w:sz w:val="18"/>
        </w:rPr>
        <w:t xml:space="preserve">Enterprise Data and Identity Analytics professional and Solutions Architect with 20+ years of experience in customer data integration, enterprise systems modernization, business analytics, and data transformation. Brings 11 years of solutions engineering and architecture experience at Acxiom Corporation, developing real-time identity scoring, application verification, and customer data solutions for major financial services and insurance clients. Led enterprise data integration, reconciliation, and operational analytics initiatives supporting the U.S. Department of the Interior, including data conversions for 4 agencies.</w:t>
      </w:r>
    </w:p>
    <w:p>
      <w:pPr>
        <w:spacing w:before="0" w:after="40" w:line="240" w:lineRule="auto"/>
      </w:pPr>
      <w:r>
        <w:rPr>
          <w:color w:val="1F1F1F"/>
          <w:sz w:val="18"/>
        </w:rPr>
        <w:t xml:space="preserve">Combines this experience with recent hands-on AI engineering and workflow development, supported by a University of Denver graduate certificate in AI Strategy and a Harvard SEAS executive certificate in LLMs and Agentic AI.</w:t>
      </w:r>
    </w:p>
    <w:p>
      <w:pPr>
        <w:spacing w:before="0" w:after="80" w:line="240" w:lineRule="auto"/>
      </w:pPr>
      <w:r>
        <w:rPr>
          <w:b/>
          <w:i/>
          <w:color w:val="5B9BD5"/>
          <w:sz w:val="18"/>
        </w:rPr>
        <w:t xml:space="preserve">Winner of two Department of Interior Awards</w:t>
      </w:r>
    </w:p>
    <w:p>
      <w:pPr>
        <w:spacing w:before="100" w:after="40" w:line="240" w:lineRule="auto"/>
        <w:pBdr>
          <w:bottom w:val="single" w:sz="6" w:space="4" w:color="17365D"/>
        </w:pBdr>
      </w:pPr>
      <w:r>
        <w:rPr>
          <w:rFonts w:ascii="Times New Roman" w:hAnsi="Times New Roman"/>
          <w:b/>
          <w:color w:val="17365D"/>
          <w:sz w:val="20"/>
        </w:rPr>
        <w:t xml:space="preserve">CORE COMPETENCIES</w:t>
      </w:r>
    </w:p>
    <w:p>
      <w:pPr>
        <w:spacing w:before="0" w:after="100" w:line="240" w:lineRule="auto"/>
      </w:pPr>
      <w:r>
        <w:rPr>
          <w:b/>
          <w:color w:val="1F1F1F"/>
          <w:sz w:val="17"/>
        </w:rPr>
        <w:t xml:space="preserve">▪ Customer Data Integration &amp; Entity Resolution ▪ Identity Scoring Models &amp; Algorithmic Scoring ▪ Identity Data Quality, Profiling &amp; Hygiene ▪ Identity Match Reach &amp; Quality KPIs ▪ Agentic AI Harness Engineering ▪ State Machine &amp; Multi-Agent Architecture ▪ Model Context Protocol Integration ▪ Trajectory Observability &amp; Evaluation ▪ Relational Schema Design ▪ Advanced SQL ▪ Privacy, Regulatory &amp; AI Governance ▪ Python Data Analysis ▪ Enterprise ETL Architecture &amp; Conversion ▪ Automated Validation &amp; Testing ▪ Cross-Functional Stakeholder Relationship ▪ User Enablement &amp; Mentorship</w:t>
      </w:r>
    </w:p>
    <w:p>
      <w:pPr>
        <w:spacing w:before="100" w:after="40" w:line="240" w:lineRule="auto"/>
        <w:pBdr>
          <w:bottom w:val="single" w:sz="6" w:space="4" w:color="17365D"/>
        </w:pBdr>
      </w:pPr>
      <w:r>
        <w:rPr>
          <w:rFonts w:ascii="Times New Roman" w:hAnsi="Times New Roman"/>
          <w:b/>
          <w:color w:val="17365D"/>
          <w:sz w:val="20"/>
        </w:rPr>
        <w:t xml:space="preserve">PROFESSIONAL EXPERIENCE</w:t>
      </w:r>
    </w:p>
    <w:p>
      <w:pPr>
        <w:spacing w:before="40" w:after="10" w:line="240" w:lineRule="auto"/>
      </w:pPr>
      <w:r>
        <w:rPr>
          <w:b/>
          <w:color w:val="17365D"/>
          <w:sz w:val="18"/>
        </w:rPr>
        <w:t xml:space="preserve">AI Engineering &amp; Enablement | AI Guardians LLC </w:t>
      </w:r>
      <w:r>
        <w:rPr>
          <w:i/>
          <w:color w:val="4A4A4A"/>
          <w:sz w:val="17"/>
        </w:rPr>
        <w:t xml:space="preserve">Denver, CO | Jan 2026–Present</w:t>
      </w:r>
    </w:p>
    <w:p>
      <w:pPr>
        <w:spacing w:before="0" w:after="20" w:line="240" w:lineRule="auto"/>
        <w:ind w:left="360" w:hanging="180"/>
      </w:pPr>
      <w:r>
        <w:rPr>
          <w:color w:val="1F1F1F"/>
          <w:sz w:val="20"/>
        </w:rPr>
        <w:t xml:space="preserve">• </w:t>
      </w:r>
      <w:r>
        <w:rPr>
          <w:color w:val="1F1F1F"/>
          <w:sz w:val="18"/>
        </w:rPr>
        <w:t xml:space="preserve">Engineered autonomous multi-agent workflows and custom TOML/markdown agents using OpenAI Codex and Google Antigravity with runtime hooks, Plan Mode trade-off analysis, and automated build–test–fix loops.</w:t>
      </w:r>
    </w:p>
    <w:p>
      <w:pPr>
        <w:spacing w:before="0" w:after="20" w:line="240" w:lineRule="auto"/>
        <w:ind w:left="360" w:hanging="180"/>
      </w:pPr>
      <w:r>
        <w:rPr>
          <w:color w:val="1F1F1F"/>
          <w:sz w:val="20"/>
        </w:rPr>
        <w:t xml:space="preserve">• </w:t>
      </w:r>
      <w:r>
        <w:rPr>
          <w:color w:val="1F1F1F"/>
          <w:sz w:val="18"/>
        </w:rPr>
        <w:t xml:space="preserve">Integrated enterprise toolchains including Figma, GitHub, Atlassian, and Google Workspace via Model Context Protocol servers and plugins; standardized agent context via AGENTS.md guidelines and reusable skill lifecycles.</w:t>
      </w:r>
    </w:p>
    <w:p>
      <w:pPr>
        <w:spacing w:before="0" w:after="20" w:line="240" w:lineRule="auto"/>
        <w:ind w:left="360" w:hanging="180"/>
      </w:pPr>
      <w:r>
        <w:rPr>
          <w:color w:val="1F1F1F"/>
          <w:sz w:val="20"/>
        </w:rPr>
        <w:t xml:space="preserve">• </w:t>
      </w:r>
      <w:r>
        <w:rPr>
          <w:color w:val="1F1F1F"/>
          <w:sz w:val="18"/>
        </w:rPr>
        <w:t xml:space="preserve">Formulated enterprise prompting methodologies covering Outcome, Constraints, Scope, and Definition of Done, establishing evidence-based verification gates that replace agent self-assessment with deterministic testing.</w:t>
      </w:r>
    </w:p>
    <w:p>
      <w:pPr>
        <w:spacing w:before="0" w:after="20" w:line="240" w:lineRule="auto"/>
        <w:ind w:left="360" w:hanging="180"/>
      </w:pPr>
      <w:r>
        <w:rPr>
          <w:color w:val="1F1F1F"/>
          <w:sz w:val="20"/>
        </w:rPr>
        <w:t xml:space="preserve">• </w:t>
      </w:r>
      <w:r>
        <w:rPr>
          <w:color w:val="1F1F1F"/>
          <w:sz w:val="18"/>
        </w:rPr>
        <w:t xml:space="preserve">Designed AI transformation toolkits, AI maturity assessments, use-case prioritization canvases, and governance guardrails based on NIST AI RMF 1.0 and ISO 42001.</w:t>
      </w:r>
    </w:p>
    <w:p>
      <w:pPr>
        <w:spacing w:before="40" w:after="10" w:line="240" w:lineRule="auto"/>
      </w:pPr>
      <w:r>
        <w:rPr>
          <w:b/>
          <w:color w:val="17365D"/>
          <w:sz w:val="18"/>
        </w:rPr>
        <w:t xml:space="preserve">Program Analyst, Acquisition Directorate | U.S. Department of the Interior </w:t>
      </w:r>
      <w:r>
        <w:rPr>
          <w:i/>
          <w:color w:val="4A4A4A"/>
          <w:sz w:val="17"/>
        </w:rPr>
        <w:t xml:space="preserve">Denver, CO | Jan–Sep 2025</w:t>
      </w:r>
    </w:p>
    <w:p>
      <w:pPr>
        <w:spacing w:before="0" w:after="20" w:line="240" w:lineRule="auto"/>
      </w:pPr>
      <w:r>
        <w:rPr>
          <w:i/>
          <w:color w:val="4A4A4A"/>
          <w:sz w:val="17"/>
        </w:rPr>
        <w:t xml:space="preserve">Cross-functional Analyst lead for Acquisition Directorate enterprise systems and business technology; GS-13</w:t>
      </w:r>
    </w:p>
    <w:p>
      <w:pPr>
        <w:spacing w:before="0" w:after="20" w:line="240" w:lineRule="auto"/>
        <w:ind w:left="360" w:hanging="180"/>
      </w:pPr>
      <w:r>
        <w:rPr>
          <w:color w:val="1F1F1F"/>
          <w:sz w:val="20"/>
        </w:rPr>
        <w:t xml:space="preserve">• </w:t>
      </w:r>
      <w:r>
        <w:rPr>
          <w:color w:val="1F1F1F"/>
          <w:sz w:val="18"/>
        </w:rPr>
        <w:t xml:space="preserve">Senior Analyst for Acquisition Directorate enterprise financial system, managing business workflow, assuring data integrity, and ensuring business &amp; functional reliability in federal environment.</w:t>
      </w:r>
    </w:p>
    <w:p>
      <w:pPr>
        <w:spacing w:before="0" w:after="20" w:line="240" w:lineRule="auto"/>
        <w:ind w:left="360" w:hanging="180"/>
      </w:pPr>
      <w:r>
        <w:rPr>
          <w:color w:val="1F1F1F"/>
          <w:sz w:val="20"/>
        </w:rPr>
        <w:t xml:space="preserve">• </w:t>
      </w:r>
      <w:r>
        <w:rPr>
          <w:color w:val="1F1F1F"/>
          <w:sz w:val="18"/>
        </w:rPr>
        <w:t xml:space="preserve">Resolved client &amp; platform vendor defects and contractual billing disputes.</w:t>
      </w:r>
    </w:p>
    <w:p>
      <w:pPr>
        <w:spacing w:before="0" w:after="20" w:line="240" w:lineRule="auto"/>
        <w:ind w:left="360" w:hanging="180"/>
      </w:pPr>
      <w:r>
        <w:rPr>
          <w:color w:val="1F1F1F"/>
          <w:sz w:val="20"/>
        </w:rPr>
        <w:t xml:space="preserve">• </w:t>
      </w:r>
      <w:r>
        <w:rPr>
          <w:color w:val="1F1F1F"/>
          <w:sz w:val="18"/>
        </w:rPr>
        <w:t xml:space="preserve">Triaged enterprise system defects.</w:t>
      </w:r>
    </w:p>
    <w:p>
      <w:pPr>
        <w:spacing w:before="40" w:after="10" w:line="240" w:lineRule="auto"/>
      </w:pPr>
      <w:r>
        <w:rPr>
          <w:b/>
          <w:color w:val="17365D"/>
          <w:sz w:val="18"/>
        </w:rPr>
        <w:t xml:space="preserve">Senior Analyst Consultant | ARK Solutions — Client : IBC Acquisition Directorate </w:t>
      </w:r>
      <w:r>
        <w:rPr>
          <w:i/>
          <w:color w:val="4A4A4A"/>
          <w:sz w:val="17"/>
        </w:rPr>
        <w:t xml:space="preserve">Denver, CO | 2011–2025</w:t>
      </w:r>
    </w:p>
    <w:p>
      <w:pPr>
        <w:spacing w:before="0" w:after="20" w:line="240" w:lineRule="auto"/>
      </w:pPr>
      <w:r>
        <w:rPr>
          <w:i/>
          <w:color w:val="4A4A4A"/>
          <w:sz w:val="17"/>
        </w:rPr>
        <w:t xml:space="preserve">14-year enterprise business support, data migration, vendor support &amp; client training</w:t>
      </w:r>
    </w:p>
    <w:p>
      <w:pPr>
        <w:spacing w:before="0" w:after="20" w:line="240" w:lineRule="auto"/>
        <w:ind w:left="360" w:hanging="180"/>
      </w:pPr>
      <w:r>
        <w:rPr>
          <w:color w:val="1F1F1F"/>
          <w:sz w:val="20"/>
        </w:rPr>
        <w:t xml:space="preserve">• </w:t>
      </w:r>
      <w:r>
        <w:rPr>
          <w:color w:val="1F1F1F"/>
          <w:sz w:val="18"/>
        </w:rPr>
        <w:t xml:space="preserve">Department ETL Architect for the FBMS enterprise data conversion for 4 agencies, migrating, cleansing, and validating bureau databases into SAP S/4.</w:t>
      </w:r>
    </w:p>
    <w:p>
      <w:pPr>
        <w:spacing w:before="0" w:after="20" w:line="240" w:lineRule="auto"/>
        <w:ind w:left="360" w:hanging="180"/>
      </w:pPr>
      <w:r>
        <w:rPr>
          <w:color w:val="1F1F1F"/>
          <w:sz w:val="20"/>
        </w:rPr>
        <w:t xml:space="preserve">• </w:t>
      </w:r>
      <w:r>
        <w:rPr>
          <w:color w:val="1F1F1F"/>
          <w:sz w:val="18"/>
        </w:rPr>
        <w:t xml:space="preserve">Served as Senior escalation lead handling enterprise incidents and Aviation payment negotiations.</w:t>
      </w:r>
    </w:p>
    <w:p>
      <w:pPr>
        <w:spacing w:before="0" w:after="20" w:line="240" w:lineRule="auto"/>
        <w:ind w:left="360" w:hanging="180"/>
      </w:pPr>
      <w:r>
        <w:rPr>
          <w:color w:val="1F1F1F"/>
          <w:sz w:val="20"/>
        </w:rPr>
        <w:t xml:space="preserve">• </w:t>
      </w:r>
      <w:r>
        <w:rPr>
          <w:color w:val="1F1F1F"/>
          <w:sz w:val="18"/>
        </w:rPr>
        <w:t xml:space="preserve">Member of DOI Special Interest Group - FPDS reporting, Exemption &amp; security compliance.</w:t>
      </w:r>
    </w:p>
    <w:p>
      <w:pPr>
        <w:spacing w:before="0" w:after="20" w:line="240" w:lineRule="auto"/>
        <w:ind w:left="360" w:hanging="180"/>
      </w:pPr>
      <w:r>
        <w:rPr>
          <w:color w:val="1F1F1F"/>
          <w:sz w:val="20"/>
        </w:rPr>
        <w:t xml:space="preserve">• </w:t>
      </w:r>
      <w:r>
        <w:rPr>
          <w:color w:val="1F1F1F"/>
          <w:sz w:val="18"/>
        </w:rPr>
        <w:t xml:space="preserve">Implemented framework to resolve financial discrepancies through realignment process.</w:t>
      </w:r>
    </w:p>
    <w:p>
      <w:pPr>
        <w:spacing w:before="0" w:after="20" w:line="240" w:lineRule="auto"/>
        <w:ind w:left="360" w:hanging="180"/>
      </w:pPr>
      <w:r>
        <w:rPr>
          <w:color w:val="1F1F1F"/>
          <w:sz w:val="20"/>
        </w:rPr>
        <w:t xml:space="preserve">• </w:t>
      </w:r>
      <w:r>
        <w:rPr>
          <w:color w:val="1F1F1F"/>
          <w:sz w:val="18"/>
        </w:rPr>
        <w:t xml:space="preserve">PRISM system administration, role-based access, procurement compliance, schema updates.</w:t>
      </w:r>
    </w:p>
    <w:p>
      <w:pPr>
        <w:spacing w:before="0" w:after="20" w:line="240" w:lineRule="auto"/>
        <w:ind w:left="360" w:hanging="180"/>
      </w:pPr>
      <w:r>
        <w:rPr>
          <w:color w:val="1F1F1F"/>
          <w:sz w:val="20"/>
        </w:rPr>
        <w:t xml:space="preserve">• </w:t>
      </w:r>
      <w:r>
        <w:rPr>
          <w:color w:val="1F1F1F"/>
          <w:sz w:val="18"/>
        </w:rPr>
        <w:t xml:space="preserve">Delivered agency-wide cohort enablement and client system training.</w:t>
      </w:r>
    </w:p>
    <w:p>
      <w:pPr>
        <w:spacing w:before="0" w:after="20" w:line="240" w:lineRule="auto"/>
        <w:ind w:left="360" w:hanging="180"/>
      </w:pPr>
      <w:r>
        <w:rPr>
          <w:color w:val="1F1F1F"/>
          <w:sz w:val="20"/>
        </w:rPr>
        <w:t xml:space="preserve">• </w:t>
      </w:r>
      <w:r>
        <w:rPr>
          <w:color w:val="1F1F1F"/>
          <w:sz w:val="18"/>
        </w:rPr>
        <w:t xml:space="preserve">Performed DataAct Audit Analytics.</w:t>
      </w:r>
    </w:p>
    <w:p>
      <w:pPr>
        <w:spacing w:before="40" w:after="10" w:line="240" w:lineRule="auto"/>
      </w:pPr>
      <w:r>
        <w:rPr>
          <w:b/>
          <w:color w:val="17365D"/>
          <w:sz w:val="18"/>
        </w:rPr>
        <w:t xml:space="preserve">Solutions Developer / Architect | Acxiom Corporation </w:t>
      </w:r>
      <w:r>
        <w:rPr>
          <w:i/>
          <w:color w:val="4A4A4A"/>
          <w:sz w:val="17"/>
        </w:rPr>
        <w:t xml:space="preserve">Little Rock, AR | 1999–2009</w:t>
      </w:r>
    </w:p>
    <w:p>
      <w:pPr>
        <w:spacing w:before="0" w:after="20" w:line="240" w:lineRule="auto"/>
      </w:pPr>
      <w:r>
        <w:rPr>
          <w:i/>
          <w:color w:val="4A4A4A"/>
          <w:sz w:val="17"/>
        </w:rPr>
        <w:t xml:space="preserve">Identity resolution, predictive scoring algorithms, and relational data warehousing; foundation of LiveRamp</w:t>
      </w:r>
    </w:p>
    <w:p>
      <w:pPr>
        <w:spacing w:before="0" w:after="20" w:line="240" w:lineRule="auto"/>
        <w:ind w:left="360" w:hanging="180"/>
      </w:pPr>
      <w:r>
        <w:rPr>
          <w:color w:val="1F1F1F"/>
          <w:sz w:val="20"/>
        </w:rPr>
        <w:t xml:space="preserve">• </w:t>
      </w:r>
      <w:r>
        <w:rPr>
          <w:color w:val="1F1F1F"/>
          <w:sz w:val="18"/>
        </w:rPr>
        <w:t xml:space="preserve">Worked with commercial enterprise clients including Citibank, GE Money, ChoicePoint, and Allstate deploying customer verification pipelines and marketing data solutions.</w:t>
      </w:r>
    </w:p>
    <w:p>
      <w:pPr>
        <w:spacing w:before="0" w:after="20" w:line="240" w:lineRule="auto"/>
        <w:ind w:left="360" w:hanging="180"/>
      </w:pPr>
      <w:r>
        <w:rPr>
          <w:color w:val="1F1F1F"/>
          <w:sz w:val="20"/>
        </w:rPr>
        <w:t xml:space="preserve">• </w:t>
      </w:r>
      <w:r>
        <w:rPr>
          <w:color w:val="1F1F1F"/>
          <w:sz w:val="18"/>
        </w:rPr>
        <w:t xml:space="preserve">Built and supported customer recognition, precision marketing, and cross-selling solutions.</w:t>
      </w:r>
    </w:p>
    <w:p>
      <w:pPr>
        <w:spacing w:before="0" w:after="20" w:line="240" w:lineRule="auto"/>
        <w:ind w:left="360" w:hanging="180"/>
      </w:pPr>
      <w:r>
        <w:rPr>
          <w:color w:val="1F1F1F"/>
          <w:sz w:val="20"/>
        </w:rPr>
        <w:t xml:space="preserve">• </w:t>
      </w:r>
      <w:r>
        <w:rPr>
          <w:color w:val="1F1F1F"/>
          <w:sz w:val="18"/>
        </w:rPr>
        <w:t xml:space="preserve">Built Citibank's online identity scoring model, real-time scoring algorithms for fraud prevention.</w:t>
      </w:r>
    </w:p>
    <w:p>
      <w:pPr>
        <w:spacing w:before="0" w:after="20" w:line="240" w:lineRule="auto"/>
        <w:ind w:left="360" w:hanging="180"/>
      </w:pPr>
      <w:r>
        <w:rPr>
          <w:color w:val="1F1F1F"/>
          <w:sz w:val="20"/>
        </w:rPr>
        <w:t xml:space="preserve">• </w:t>
      </w:r>
      <w:r>
        <w:rPr>
          <w:color w:val="1F1F1F"/>
          <w:sz w:val="18"/>
        </w:rPr>
        <w:t xml:space="preserve">Provided business and technical support for Application Verification System, SLA compliance.</w:t>
      </w:r>
    </w:p>
    <w:p>
      <w:pPr>
        <w:spacing w:before="0" w:after="20" w:line="240" w:lineRule="auto"/>
        <w:ind w:left="360" w:hanging="180"/>
      </w:pPr>
      <w:r>
        <w:rPr>
          <w:color w:val="1F1F1F"/>
          <w:sz w:val="20"/>
        </w:rPr>
        <w:t xml:space="preserve">• </w:t>
      </w:r>
      <w:r>
        <w:rPr>
          <w:color w:val="1F1F1F"/>
          <w:sz w:val="18"/>
        </w:rPr>
        <w:t xml:space="preserve">SME on the Software Methodology Board, established SDLC governance.</w:t>
      </w:r>
    </w:p>
    <w:p>
      <w:pPr>
        <w:spacing w:before="100" w:after="40" w:line="240" w:lineRule="auto"/>
        <w:pBdr>
          <w:bottom w:val="single" w:sz="6" w:space="4" w:color="17365D"/>
        </w:pBdr>
      </w:pPr>
      <w:r>
        <w:rPr>
          <w:rFonts w:ascii="Times New Roman" w:hAnsi="Times New Roman"/>
          <w:b/>
          <w:color w:val="17365D"/>
          <w:sz w:val="20"/>
        </w:rPr>
        <w:t xml:space="preserve">AI ENGINEERING PORTFOLIO</w:t>
      </w:r>
    </w:p>
    <w:p>
      <w:pPr>
        <w:spacing w:before="40" w:after="10" w:line="240" w:lineRule="auto"/>
      </w:pPr>
      <w:r>
        <w:rPr>
          <w:b/>
          <w:color w:val="17365D"/>
          <w:sz w:val="18"/>
        </w:rPr>
        <w:t xml:space="preserve">Trading Copilot — Governed Multi-Agent Research Platform </w:t>
      </w:r>
      <w:r>
        <w:rPr>
          <w:i/>
          <w:color w:val="4A4A4A"/>
          <w:sz w:val="17"/>
        </w:rPr>
        <w:t xml:space="preserve">AI in Finance Nicole Koenigstein</w:t>
      </w:r>
    </w:p>
    <w:p>
      <w:pPr>
        <w:spacing w:before="0" w:after="20" w:line="240" w:lineRule="auto"/>
        <w:ind w:left="360" w:hanging="180"/>
      </w:pPr>
      <w:r>
        <w:rPr>
          <w:color w:val="1F1F1F"/>
          <w:sz w:val="20"/>
        </w:rPr>
        <w:t xml:space="preserve">• </w:t>
      </w:r>
      <w:r>
        <w:rPr>
          <w:color w:val="1F1F1F"/>
          <w:sz w:val="18"/>
        </w:rPr>
        <w:t xml:space="preserve">Architected multi-agent equities research pipelines in LangGraph combining hierarchical supervisor and peer-to-peer topologies with bounded execution budgets and deterministic state machine transitions.</w:t>
      </w:r>
    </w:p>
    <w:p>
      <w:pPr>
        <w:spacing w:before="0" w:after="20" w:line="240" w:lineRule="auto"/>
        <w:ind w:left="360" w:hanging="180"/>
      </w:pPr>
      <w:r>
        <w:rPr>
          <w:color w:val="1F1F1F"/>
          <w:sz w:val="20"/>
        </w:rPr>
        <w:t xml:space="preserve">• </w:t>
      </w:r>
      <w:r>
        <w:rPr>
          <w:color w:val="1F1F1F"/>
          <w:sz w:val="18"/>
        </w:rPr>
        <w:t xml:space="preserve">Implemented 4-layer harness architecture separating non-deterministic model proposals from deterministic policy enforcement, tool contracts, and zero-trust sandbox execution.</w:t>
      </w:r>
    </w:p>
    <w:p>
      <w:pPr>
        <w:spacing w:before="0" w:after="20" w:line="240" w:lineRule="auto"/>
        <w:ind w:left="360" w:hanging="180"/>
      </w:pPr>
      <w:r>
        <w:rPr>
          <w:color w:val="1F1F1F"/>
          <w:sz w:val="20"/>
        </w:rPr>
        <w:t xml:space="preserve">• </w:t>
      </w:r>
      <w:r>
        <w:rPr>
          <w:color w:val="1F1F1F"/>
          <w:sz w:val="18"/>
        </w:rPr>
        <w:t xml:space="preserve">Integrated 6-measure trajectory observability covering Correctness, Grounding, Latency p95, Cost, Safety, and Auditability via OpenTelemetry and self-hosted Langfuse to audit multi-step reasoning paths.</w:t>
      </w:r>
    </w:p>
    <w:p>
      <w:pPr>
        <w:spacing w:before="0" w:after="20" w:line="240" w:lineRule="auto"/>
        <w:ind w:left="360" w:hanging="180"/>
      </w:pPr>
      <w:r>
        <w:rPr>
          <w:color w:val="1F1F1F"/>
          <w:sz w:val="20"/>
        </w:rPr>
        <w:t xml:space="preserve">• </w:t>
      </w:r>
      <w:r>
        <w:rPr>
          <w:color w:val="1F1F1F"/>
          <w:sz w:val="18"/>
        </w:rPr>
        <w:t xml:space="preserve">Engineered multimodal financial parsing for SEC filings and earnings calls, combining tabular footing reconciliation, audio speaker diarization, and foundation time-series forecasting with calibrated predictive quantile distributions.</w:t>
      </w:r>
    </w:p>
    <w:p>
      <w:pPr>
        <w:spacing w:before="40" w:after="10" w:line="240" w:lineRule="auto"/>
      </w:pPr>
      <w:r>
        <w:rPr>
          <w:b/>
          <w:color w:val="17365D"/>
          <w:sz w:val="18"/>
        </w:rPr>
        <w:t xml:space="preserve">Rental Housing Law Navigator — Regulatory Decision-Support Application </w:t>
      </w:r>
      <w:r>
        <w:rPr>
          <w:i/>
          <w:color w:val="4A4A4A"/>
          <w:sz w:val="17"/>
        </w:rPr>
        <w:t xml:space="preserve">Global AI Hackathon 2026</w:t>
      </w:r>
    </w:p>
    <w:p>
      <w:pPr>
        <w:spacing w:before="0" w:after="20" w:line="240" w:lineRule="auto"/>
        <w:ind w:left="360" w:hanging="180"/>
      </w:pPr>
      <w:r>
        <w:rPr>
          <w:color w:val="1F1F1F"/>
          <w:sz w:val="20"/>
        </w:rPr>
        <w:t xml:space="preserve">• </w:t>
      </w:r>
      <w:r>
        <w:rPr>
          <w:color w:val="1F1F1F"/>
          <w:sz w:val="18"/>
        </w:rPr>
        <w:t xml:space="preserve">Engineered full-stack regulatory decision application linking Lovable frontend, Google Cloud Run, Python/FastAPI backend.</w:t>
      </w:r>
    </w:p>
    <w:p>
      <w:pPr>
        <w:spacing w:before="40" w:after="10" w:line="240" w:lineRule="auto"/>
      </w:pPr>
      <w:r>
        <w:rPr>
          <w:b/>
          <w:color w:val="17365D"/>
          <w:sz w:val="18"/>
        </w:rPr>
        <w:t xml:space="preserve">AI Incident Monitor — AI Risk Intelligence Platform </w:t>
      </w:r>
      <w:r>
        <w:rPr>
          <w:i/>
          <w:color w:val="4A4A4A"/>
          <w:sz w:val="17"/>
        </w:rPr>
        <w:t xml:space="preserve">AI Guardians LLC | 2026</w:t>
      </w:r>
    </w:p>
    <w:p>
      <w:pPr>
        <w:spacing w:before="0" w:after="20" w:line="240" w:lineRule="auto"/>
        <w:ind w:left="360" w:hanging="180"/>
      </w:pPr>
      <w:r>
        <w:rPr>
          <w:color w:val="1F1F1F"/>
          <w:sz w:val="20"/>
        </w:rPr>
        <w:t xml:space="preserve">• </w:t>
      </w:r>
      <w:r>
        <w:rPr>
          <w:color w:val="1F1F1F"/>
          <w:sz w:val="18"/>
        </w:rPr>
        <w:t xml:space="preserve">Architected Explainable AI incident severity scoring and compliance taxonomy mapping based on NIST AI RMF 1.0.</w:t>
      </w:r>
    </w:p>
    <w:p>
      <w:pPr>
        <w:spacing w:before="40" w:after="10" w:line="240" w:lineRule="auto"/>
      </w:pPr>
      <w:r>
        <w:rPr>
          <w:b/>
          <w:color w:val="17365D"/>
          <w:sz w:val="18"/>
        </w:rPr>
        <w:t xml:space="preserve">Multimodal Document Intelligence — Auditable Data Extraction Pipeline </w:t>
      </w:r>
      <w:r>
        <w:rPr>
          <w:i/>
          <w:color w:val="4A4A4A"/>
          <w:sz w:val="17"/>
        </w:rPr>
        <w:t xml:space="preserve">Stanford | 2026</w:t>
      </w:r>
    </w:p>
    <w:p>
      <w:pPr>
        <w:spacing w:before="0" w:after="20" w:line="240" w:lineRule="auto"/>
        <w:ind w:left="360" w:hanging="180"/>
      </w:pPr>
      <w:r>
        <w:rPr>
          <w:color w:val="1F1F1F"/>
          <w:sz w:val="20"/>
        </w:rPr>
        <w:t xml:space="preserve">• </w:t>
      </w:r>
      <w:r>
        <w:rPr>
          <w:color w:val="1F1F1F"/>
          <w:sz w:val="18"/>
        </w:rPr>
        <w:t xml:space="preserve">Built an auditable document intelligence pipeline using LangGraph StateGraph &amp; OCR parsing.</w:t>
      </w:r>
    </w:p>
    <w:p>
      <w:pPr>
        <w:spacing w:before="0" w:after="20" w:line="240" w:lineRule="auto"/>
        <w:ind w:left="360" w:hanging="180"/>
      </w:pPr>
      <w:r>
        <w:rPr>
          <w:color w:val="1F1F1F"/>
          <w:sz w:val="20"/>
        </w:rPr>
        <w:t xml:space="preserve">• </w:t>
      </w:r>
      <w:r>
        <w:rPr>
          <w:color w:val="1F1F1F"/>
          <w:sz w:val="18"/>
        </w:rPr>
        <w:t xml:space="preserve">Enforced Pydantic contract validation, confidence scoring, and semantic retrieval.</w:t>
      </w:r>
    </w:p>
    <w:p>
      <w:pPr>
        <w:spacing w:before="100" w:after="40" w:line="240" w:lineRule="auto"/>
        <w:pBdr>
          <w:bottom w:val="single" w:sz="6" w:space="4" w:color="17365D"/>
        </w:pBdr>
      </w:pPr>
      <w:r>
        <w:rPr>
          <w:rFonts w:ascii="Times New Roman" w:hAnsi="Times New Roman"/>
          <w:b/>
          <w:color w:val="17365D"/>
          <w:sz w:val="20"/>
        </w:rPr>
        <w:t xml:space="preserve">EDUCATION &amp; PROFESSIONAL DEVELOPMENT</w:t>
      </w:r>
    </w:p>
    <w:p>
      <w:pPr>
        <w:spacing w:before="0" w:after="20" w:line="240" w:lineRule="auto"/>
        <w:ind w:left="360" w:hanging="180"/>
      </w:pPr>
      <w:r>
        <w:rPr>
          <w:color w:val="1F1F1F"/>
          <w:sz w:val="20"/>
        </w:rPr>
        <w:t xml:space="preserve">• </w:t>
      </w:r>
      <w:r>
        <w:rPr>
          <w:b/>
          <w:color w:val="1F1F1F"/>
          <w:sz w:val="18"/>
        </w:rPr>
        <w:t xml:space="preserve">OpenAI Codex:</w:t>
      </w:r>
      <w:r>
        <w:rPr>
          <w:color w:val="1F1F1F"/>
          <w:sz w:val="18"/>
        </w:rPr>
        <w:t xml:space="preserve"> Agent Orchestration • MCP Integration • Context Engineering — Completed 7 intensive bootcamps across Fundamentals, Codex 201, and Codex 301 covering Plan Mode, parallel worktrees, runtime hooks, and automated build–test–fix loops</w:t>
      </w:r>
    </w:p>
    <w:p>
      <w:pPr>
        <w:spacing w:before="0" w:after="20" w:line="240" w:lineRule="auto"/>
        <w:ind w:left="360" w:hanging="180"/>
      </w:pPr>
      <w:r>
        <w:rPr>
          <w:color w:val="1F1F1F"/>
          <w:sz w:val="20"/>
        </w:rPr>
        <w:t xml:space="preserve">• </w:t>
      </w:r>
      <w:r>
        <w:rPr>
          <w:b/>
          <w:color w:val="1F1F1F"/>
          <w:sz w:val="18"/>
        </w:rPr>
        <w:t xml:space="preserve">Packt Certificate Course:</w:t>
      </w:r>
      <w:r>
        <w:rPr>
          <w:color w:val="1F1F1F"/>
          <w:sz w:val="18"/>
        </w:rPr>
        <w:t xml:space="preserve"> Agentic AI for Finance — Nicole Koenigstein — Harness Engineering • Multi-Agent Topologies • Trajectory Observability • Financial Multimodal RAG</w:t>
      </w:r>
    </w:p>
    <w:p>
      <w:pPr>
        <w:spacing w:before="0" w:after="20" w:line="240" w:lineRule="auto"/>
        <w:ind w:left="360" w:hanging="180"/>
      </w:pPr>
      <w:r>
        <w:rPr>
          <w:color w:val="1F1F1F"/>
          <w:sz w:val="20"/>
        </w:rPr>
        <w:t xml:space="preserve">• </w:t>
      </w:r>
      <w:r>
        <w:rPr>
          <w:b/>
          <w:color w:val="1F1F1F"/>
          <w:sz w:val="18"/>
        </w:rPr>
        <w:t xml:space="preserve">UC Berkeley Extension:</w:t>
      </w:r>
      <w:r>
        <w:rPr>
          <w:color w:val="1F1F1F"/>
          <w:sz w:val="18"/>
        </w:rPr>
        <w:t xml:space="preserve"> Machine Learning and Deep Learning with Spark</w:t>
      </w:r>
    </w:p>
    <w:p>
      <w:pPr>
        <w:spacing w:before="0" w:after="20" w:line="240" w:lineRule="auto"/>
        <w:ind w:left="360" w:hanging="180"/>
      </w:pPr>
      <w:r>
        <w:rPr>
          <w:color w:val="1F1F1F"/>
          <w:sz w:val="20"/>
        </w:rPr>
        <w:t xml:space="preserve">• </w:t>
      </w:r>
      <w:r>
        <w:rPr>
          <w:b/>
          <w:color w:val="1F1F1F"/>
          <w:sz w:val="18"/>
        </w:rPr>
        <w:t xml:space="preserve">University of Denver:</w:t>
      </w:r>
      <w:r>
        <w:rPr>
          <w:color w:val="1F1F1F"/>
          <w:sz w:val="18"/>
        </w:rPr>
        <w:t xml:space="preserve"> Graduate Certificate, AI Strategy &amp; Applications in IT</w:t>
      </w:r>
    </w:p>
    <w:p>
      <w:pPr>
        <w:spacing w:before="0" w:after="20" w:line="240" w:lineRule="auto"/>
        <w:ind w:left="360" w:hanging="180"/>
      </w:pPr>
      <w:r>
        <w:rPr>
          <w:color w:val="1F1F1F"/>
          <w:sz w:val="20"/>
        </w:rPr>
        <w:t xml:space="preserve">• </w:t>
      </w:r>
      <w:r>
        <w:rPr>
          <w:b/>
          <w:color w:val="1F1F1F"/>
          <w:sz w:val="18"/>
        </w:rPr>
        <w:t xml:space="preserve">Stanford Continuing Studies:</w:t>
      </w:r>
      <w:r>
        <w:rPr>
          <w:color w:val="1F1F1F"/>
          <w:sz w:val="18"/>
        </w:rPr>
        <w:t xml:space="preserve"> Data Analysis with Python • Modern AI Architectures • AI Accountability</w:t>
      </w:r>
    </w:p>
    <w:p>
      <w:pPr>
        <w:spacing w:before="0" w:after="20" w:line="240" w:lineRule="auto"/>
        <w:ind w:left="360" w:hanging="180"/>
      </w:pPr>
      <w:r>
        <w:rPr>
          <w:color w:val="1F1F1F"/>
          <w:sz w:val="20"/>
        </w:rPr>
        <w:t xml:space="preserve">• </w:t>
      </w:r>
      <w:r>
        <w:rPr>
          <w:b/>
          <w:color w:val="1F1F1F"/>
          <w:sz w:val="18"/>
        </w:rPr>
        <w:t xml:space="preserve">Harvard John A. Paulson SEAS:</w:t>
      </w:r>
      <w:r>
        <w:rPr>
          <w:color w:val="1F1F1F"/>
          <w:sz w:val="18"/>
        </w:rPr>
        <w:t xml:space="preserve"> Executive Certificate — LLMs: Transformer to Agentic AI</w:t>
      </w:r>
    </w:p>
    <w:p>
      <w:pPr>
        <w:spacing w:before="0" w:after="20" w:line="240" w:lineRule="auto"/>
        <w:ind w:left="360" w:hanging="180"/>
      </w:pPr>
      <w:r>
        <w:rPr>
          <w:color w:val="1F1F1F"/>
          <w:sz w:val="20"/>
        </w:rPr>
        <w:t xml:space="preserve">• </w:t>
      </w:r>
      <w:r>
        <w:rPr>
          <w:b/>
          <w:color w:val="1F1F1F"/>
          <w:sz w:val="18"/>
        </w:rPr>
        <w:t xml:space="preserve">St. Joseph's College:</w:t>
      </w:r>
      <w:r>
        <w:rPr>
          <w:color w:val="1F1F1F"/>
          <w:sz w:val="18"/>
        </w:rPr>
        <w:t xml:space="preserve"> M.S. &amp; B.S., Computer Science</w:t>
      </w:r>
    </w:p>
    <w:p>
      <w:pPr>
        <w:spacing w:before="0" w:after="20" w:line="240" w:lineRule="auto"/>
        <w:ind w:left="360" w:hanging="180"/>
      </w:pPr>
      <w:r>
        <w:rPr>
          <w:color w:val="1F1F1F"/>
          <w:sz w:val="20"/>
        </w:rPr>
        <w:t xml:space="preserve">• </w:t>
      </w:r>
      <w:r>
        <w:rPr>
          <w:b/>
          <w:color w:val="1F1F1F"/>
          <w:sz w:val="18"/>
        </w:rPr>
        <w:t xml:space="preserve">Honors &amp; Awards:</w:t>
      </w:r>
      <w:r>
        <w:rPr>
          <w:color w:val="1F1F1F"/>
          <w:sz w:val="18"/>
        </w:rPr>
        <w:t xml:space="preserve"> Interior Business Center Award for Excellence • DOI FBMS Special Recognition</w:t>
      </w:r>
    </w:p>
    <w:p>
      <w:pPr>
        <w:spacing w:before="0" w:after="20" w:line="240" w:lineRule="auto"/>
        <w:ind w:left="360" w:hanging="180"/>
      </w:pPr>
      <w:r>
        <w:rPr>
          <w:color w:val="1F1F1F"/>
          <w:sz w:val="20"/>
        </w:rPr>
        <w:t xml:space="preserve">• </w:t>
      </w:r>
      <w:r>
        <w:rPr>
          <w:b/>
          <w:color w:val="1F1F1F"/>
          <w:sz w:val="18"/>
        </w:rPr>
        <w:t xml:space="preserve">AI Tech and Privacy Academy:</w:t>
      </w:r>
      <w:r>
        <w:rPr>
          <w:color w:val="1F1F1F"/>
          <w:sz w:val="18"/>
        </w:rPr>
        <w:t xml:space="preserve"> AI Governance &amp; Privacy Frameworks</w:t>
      </w:r>
    </w:p>
    <w:p>
      <w:pPr>
        <w:spacing w:before="100" w:after="40" w:line="240" w:lineRule="auto"/>
        <w:pBdr>
          <w:bottom w:val="single" w:sz="6" w:space="4" w:color="17365D"/>
        </w:pBdr>
      </w:pPr>
      <w:r>
        <w:rPr>
          <w:rFonts w:ascii="Times New Roman" w:hAnsi="Times New Roman"/>
          <w:b/>
          <w:color w:val="17365D"/>
          <w:sz w:val="20"/>
        </w:rPr>
        <w:t xml:space="preserve">TECHNICAL PROFICIENCIES</w:t>
      </w:r>
    </w:p>
    <w:p>
      <w:pPr>
        <w:spacing w:before="0" w:after="20" w:line="240" w:lineRule="auto"/>
        <w:ind w:left="360" w:hanging="180"/>
      </w:pPr>
      <w:r>
        <w:rPr>
          <w:color w:val="1F1F1F"/>
          <w:sz w:val="20"/>
        </w:rPr>
        <w:t xml:space="preserve">• </w:t>
      </w:r>
      <w:r>
        <w:rPr>
          <w:b/>
          <w:color w:val="1F1F1F"/>
          <w:sz w:val="18"/>
        </w:rPr>
        <w:t xml:space="preserve">Identity Analytics &amp; Predictive Systems:</w:t>
      </w:r>
      <w:r>
        <w:rPr>
          <w:color w:val="1F1F1F"/>
          <w:sz w:val="18"/>
        </w:rPr>
        <w:t xml:space="preserve"> Customer Data Integration • Identity Resolution &amp; Entity Matching • Real-Time Identity Scoring • Algorithmic Scoring Models • Predictive Cross-Sell Models • Deep Learning &amp; Neural Networks</w:t>
      </w:r>
    </w:p>
    <w:p>
      <w:pPr>
        <w:spacing w:before="0" w:after="20" w:line="240" w:lineRule="auto"/>
        <w:ind w:left="360" w:hanging="180"/>
      </w:pPr>
      <w:r>
        <w:rPr>
          <w:color w:val="1F1F1F"/>
          <w:sz w:val="20"/>
        </w:rPr>
        <w:t xml:space="preserve">• </w:t>
      </w:r>
      <w:r>
        <w:rPr>
          <w:b/>
          <w:color w:val="1F1F1F"/>
          <w:sz w:val="18"/>
        </w:rPr>
        <w:t xml:space="preserve">Data Engineering &amp; Big Data Platforms:</w:t>
      </w:r>
      <w:r>
        <w:rPr>
          <w:color w:val="1F1F1F"/>
          <w:sz w:val="18"/>
        </w:rPr>
        <w:t xml:space="preserve"> Acxiom Hive, AbiliTec Links, Apache Spark • Oracle, PostgreSQL, SQL Server • ETL/ELT Architectures • Relational Data Modeling • Schema Normalization • Data Quality, Deduplication &amp; Profiling</w:t>
      </w:r>
    </w:p>
    <w:p>
      <w:pPr>
        <w:spacing w:before="0" w:after="20" w:line="240" w:lineRule="auto"/>
        <w:ind w:left="360" w:hanging="180"/>
      </w:pPr>
      <w:r>
        <w:rPr>
          <w:color w:val="1F1F1F"/>
          <w:sz w:val="20"/>
        </w:rPr>
        <w:t xml:space="preserve">• </w:t>
      </w:r>
      <w:r>
        <w:rPr>
          <w:b/>
          <w:color w:val="1F1F1F"/>
          <w:sz w:val="18"/>
        </w:rPr>
        <w:t xml:space="preserve">Software Engineering &amp; Analytical Workflows:</w:t>
      </w:r>
      <w:r>
        <w:rPr>
          <w:color w:val="1F1F1F"/>
          <w:sz w:val="18"/>
        </w:rPr>
        <w:t xml:space="preserve"> Python • pandas &amp; NumPy • FastAPI • Pydantic • SQLAlchemy • RESTful API Contracts • JSON Schema • pytest • GitHub • Cloud Deployment on Google Cloud Run and Vercel</w:t>
      </w:r>
    </w:p>
    <w:p>
      <w:pPr>
        <w:spacing w:before="0" w:after="20" w:line="240" w:lineRule="auto"/>
        <w:ind w:left="360" w:hanging="180"/>
      </w:pPr>
      <w:r>
        <w:rPr>
          <w:color w:val="1F1F1F"/>
          <w:sz w:val="20"/>
        </w:rPr>
        <w:t xml:space="preserve">• </w:t>
      </w:r>
      <w:r>
        <w:rPr>
          <w:b/>
          <w:color w:val="1F1F1F"/>
          <w:sz w:val="18"/>
        </w:rPr>
        <w:t xml:space="preserve">Enterprise Platforms, Privacy &amp; Governance:</w:t>
      </w:r>
      <w:r>
        <w:rPr>
          <w:color w:val="1F1F1F"/>
          <w:sz w:val="18"/>
        </w:rPr>
        <w:t xml:space="preserve"> SAP S/4HANA Federal Business Management System • Unison PRISM • Remedy</w:t>
      </w:r>
    </w:p>
    <w:p>
      <w:pPr>
        <w:spacing w:before="0" w:after="20" w:line="240" w:lineRule="auto"/>
        <w:ind w:left="360" w:hanging="180"/>
      </w:pPr>
      <w:r>
        <w:rPr>
          <w:color w:val="1F1F1F"/>
          <w:sz w:val="20"/>
        </w:rPr>
        <w:t xml:space="preserve">• </w:t>
      </w:r>
      <w:r>
        <w:rPr>
          <w:b/>
          <w:color w:val="1F1F1F"/>
          <w:sz w:val="18"/>
        </w:rPr>
        <w:t xml:space="preserve">AI Engineering &amp; LLMOps:</w:t>
      </w:r>
      <w:r>
        <w:rPr>
          <w:color w:val="1F1F1F"/>
          <w:sz w:val="18"/>
        </w:rPr>
        <w:t xml:space="preserve"> Agentic Harness Engineering • LangGraph StateGraph FSM and HSM • Multi-Agent Topologies — Hierarchical, Peer-to-Peer, Blackboard, Swarm • Model Context Protocol MCP • OpenAI Codex CLI, IDE, Desktop App • Google Antigravity • Context Engineering with AGENTS.md • Trajectory Observability &amp; Tracing via OpenTelemetry, Langfuse, LangSmith • Policy Optimization via GRPO, GSPO, RULER • Sandboxing &amp; Security with Docker, E2B, OWASP Top 15 Agent Vulnerabilities • Financial Multimodal RAG &amp; Table Footing Verification • Foundation Time-Series Models — Chronos, TimesFM, PatchTST, AnomalyBERT • Inference Physics with vLLM PagedAttention and SGLang RadixAttention • Structured Output Modes — Strict JSON Schema, Instructor Pydantic • AI Governance &amp; Responsible AI • NIST AI RMF 1.0 • ISO 42001 • Bounded Execution Guardrails • Qdrant Vector Search</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github.com/EbeDenver" TargetMode="External"/>
  <Relationship Id="rIdHyperlink3" Type="http://schemas.openxmlformats.org/officeDocument/2006/relationships/hyperlink" Target="https://portal.aiguardiansllc.us/" TargetMode="External"/>
</Relationships>
</file>