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Times New Roman" w:hAnsi="Times New Roman"/>
          <w:b/>
          <w:color w:val="17365D"/>
          <w:sz w:val="36"/>
        </w:rPr>
        <w:t xml:space="preserve">Ebenezer J. Rolston</w:t>
      </w:r>
    </w:p>
    <w:p>
      <w:pPr>
        <w:jc w:val="center"/>
        <w:spacing w:before="0" w:after="30" w:line="240" w:lineRule="auto"/>
      </w:pPr>
      <w:r>
        <w:rPr>
          <w:rFonts w:ascii="Times New Roman" w:hAnsi="Times New Roman"/>
          <w:b/>
          <w:color w:val="17365D"/>
          <w:sz w:val="19"/>
        </w:rPr>
        <w:t xml:space="preserve">Enterprise Data Integration • Source-to-Target Mapping • CRM Data Architecture</w:t>
      </w:r>
    </w:p>
    <w:p>
      <w:pPr>
        <w:jc w:val="center"/>
        <w:spacing w:before="0" w:after="80" w:line="240" w:lineRule="auto"/>
      </w:pPr>
      <w:r>
        <w:rPr>
          <w:color w:val="1F1F1F"/>
          <w:sz w:val="18"/>
        </w:rPr>
        <w:t xml:space="preserve">Denver, CO • eberolston@yahoo.com • 501-307-3237 • </w:t>
      </w:r>
      <w:hyperlink r:id="rIdHyperlink1">
        <w:r>
          <w:rPr>
            <w:b/>
            <w:color w:val="17365D"/>
            <w:sz w:val="18"/>
            <w:u w:val="single"/>
          </w:rPr>
          <w:t xml:space="preserve">LinkedIn</w:t>
        </w:r>
      </w:hyperlink>
      <w:r>
        <w:rPr>
          <w:color w:val="1F1F1F"/>
          <w:sz w:val="18"/>
        </w:rPr>
        <w:t xml:space="preserve"> • </w:t>
      </w:r>
      <w:hyperlink r:id="rIdHyperlink2">
        <w:r>
          <w:rPr>
            <w:b/>
            <w:color w:val="17365D"/>
            <w:sz w:val="18"/>
            <w:u w:val="single"/>
          </w:rPr>
          <w:t xml:space="preserve">GitHub</w:t>
        </w:r>
      </w:hyperlink>
      <w:r>
        <w:rPr>
          <w:color w:val="1F1F1F"/>
          <w:sz w:val="18"/>
        </w:rPr>
        <w:t xml:space="preserve"> • </w:t>
      </w:r>
      <w:hyperlink r:id="rIdHyperlink3">
        <w:r>
          <w:rPr>
            <w:b/>
            <w:color w:val="17365D"/>
            <w:sz w:val="18"/>
            <w:u w:val="single"/>
          </w:rPr>
          <w:t xml:space="preserve">AI Guardians</w:t>
        </w:r>
      </w:hyperlink>
    </w:p>
    <w:p>
      <w:pPr>
        <w:spacing w:before="100" w:after="40" w:line="240" w:lineRule="auto"/>
        <w:pBdr>
          <w:bottom w:val="single" w:sz="6" w:space="4" w:color="17365D"/>
        </w:pBdr>
      </w:pPr>
      <w:r>
        <w:rPr>
          <w:rFonts w:ascii="Times New Roman" w:hAnsi="Times New Roman"/>
          <w:b/>
          <w:color w:val="17365D"/>
          <w:sz w:val="20"/>
        </w:rPr>
        <w:t xml:space="preserve">PROFESSIONAL SUMMARY</w:t>
      </w:r>
    </w:p>
    <w:p>
      <w:pPr>
        <w:spacing w:before="0" w:after="40" w:line="240" w:lineRule="auto"/>
      </w:pPr>
      <w:r>
        <w:rPr>
          <w:color w:val="1F1F1F"/>
          <w:sz w:val="18"/>
        </w:rPr>
        <w:t xml:space="preserve">Enterprise Data Integration Analyst and Solutions Architect with 20+ years of experience leading complex data migrations, source-to-target mapping, ETL/ELT pipeline implementation, and enterprise data quality management across the federal and financial sectors. Served as Department ETL Architect for the U.S. Department of the Interior FBMS enterprise conversion, migrating, cleansing, and reconciling legacy bureau databases into a unified SAP S/4 platform across 4 agencies. Brings 11 years at Acxiom Corporation architecting customer data integration, entity resolution, and real-time identity scoring solutions for major enterprise clients.</w:t>
      </w:r>
    </w:p>
    <w:p>
      <w:pPr>
        <w:spacing w:before="0" w:after="40" w:line="240" w:lineRule="auto"/>
      </w:pPr>
      <w:r>
        <w:rPr>
          <w:color w:val="1F1F1F"/>
          <w:sz w:val="18"/>
        </w:rPr>
        <w:t xml:space="preserve">Expert in advanced SQL, relational schema normalization, data lineage documentation, automated reconciliation, and root-cause incident resolution. Augments this data integration foundation with modern AI-assisted data validation capabilities, including schema-governed pipeline verification, automated footing reconciliation, and deterministic quality gates. A Denver-area resident holding an M.S. in Computer Science and credentials from Stanford and Harvard, Ebenezer excels as an operational partner to Data Architects, translating complex business requirements into robust, auditable data integration assets that eliminate single-person dependencies.</w:t>
      </w:r>
    </w:p>
    <w:p>
      <w:pPr>
        <w:spacing w:before="0" w:after="80" w:line="240" w:lineRule="auto"/>
      </w:pPr>
      <w:r>
        <w:rPr>
          <w:b/>
          <w:i/>
          <w:color w:val="5B9BD5"/>
          <w:sz w:val="18"/>
        </w:rPr>
        <w:t xml:space="preserve">Winner of two Department of Interior Awards</w:t>
      </w:r>
    </w:p>
    <w:p>
      <w:pPr>
        <w:spacing w:before="100" w:after="40" w:line="240" w:lineRule="auto"/>
        <w:pBdr>
          <w:bottom w:val="single" w:sz="6" w:space="4" w:color="17365D"/>
        </w:pBdr>
      </w:pPr>
      <w:r>
        <w:rPr>
          <w:rFonts w:ascii="Times New Roman" w:hAnsi="Times New Roman"/>
          <w:b/>
          <w:color w:val="17365D"/>
          <w:sz w:val="20"/>
        </w:rPr>
        <w:t xml:space="preserve">CORE COMPETENCIES</w:t>
      </w:r>
    </w:p>
    <w:p>
      <w:pPr>
        <w:spacing w:before="0" w:after="100" w:line="240" w:lineRule="auto"/>
      </w:pPr>
      <w:r>
        <w:rPr>
          <w:b/>
          <w:color w:val="1F1F1F"/>
          <w:sz w:val="17"/>
        </w:rPr>
        <w:t xml:space="preserve">▪ Enterprise Data Integration &amp; Migration ▪ Source-to-Target Mapping ▪ Relational Schema Design ▪ Advanced SQL ▪ Data Quality &amp; Automated Reconciliation ▪ CRM Data Architecture ▪ ETL &amp; ELT Pipelines ▪ Schema-Governed Validation &amp; Footing Checks ▪ Root Cause Analysis &amp; Incident Resolution ▪ Data Governance &amp; Stewardship ▪ Business Requirements Discovery ▪ Python Data Analysis ▪ Cross-Functional Stakeholder Alignment</w:t>
      </w:r>
    </w:p>
    <w:p>
      <w:pPr>
        <w:spacing w:before="100" w:after="40" w:line="240" w:lineRule="auto"/>
        <w:pBdr>
          <w:bottom w:val="single" w:sz="6" w:space="4" w:color="17365D"/>
        </w:pBdr>
      </w:pPr>
      <w:r>
        <w:rPr>
          <w:rFonts w:ascii="Times New Roman" w:hAnsi="Times New Roman"/>
          <w:b/>
          <w:color w:val="17365D"/>
          <w:sz w:val="20"/>
        </w:rPr>
        <w:t xml:space="preserve">PROFESSIONAL EXPERIENCE</w:t>
      </w:r>
    </w:p>
    <w:p>
      <w:pPr>
        <w:spacing w:before="40" w:after="10" w:line="240" w:lineRule="auto"/>
      </w:pPr>
      <w:r>
        <w:rPr>
          <w:b/>
          <w:color w:val="17365D"/>
          <w:sz w:val="18"/>
        </w:rPr>
        <w:t xml:space="preserve">AI Engineering &amp; Enablement | AI Guardians LLC </w:t>
      </w:r>
      <w:r>
        <w:rPr>
          <w:i/>
          <w:color w:val="4A4A4A"/>
          <w:sz w:val="17"/>
        </w:rPr>
        <w:t xml:space="preserve">Denver, CO | Jan 2026–Present</w:t>
      </w:r>
    </w:p>
    <w:p>
      <w:pPr>
        <w:spacing w:before="0" w:after="20" w:line="240" w:lineRule="auto"/>
        <w:ind w:left="360" w:hanging="180"/>
      </w:pPr>
      <w:r>
        <w:rPr>
          <w:color w:val="1F1F1F"/>
          <w:sz w:val="20"/>
        </w:rPr>
        <w:t xml:space="preserve">• </w:t>
      </w:r>
      <w:r>
        <w:rPr>
          <w:color w:val="1F1F1F"/>
          <w:sz w:val="18"/>
        </w:rPr>
        <w:t xml:space="preserve">Architected schema-governed data pipelines and API tool contracts using Python, Pydantic, and JSON Schema, establishing rigorous validation rules for heterogeneous data ingestion.</w:t>
      </w:r>
    </w:p>
    <w:p>
      <w:pPr>
        <w:spacing w:before="0" w:after="20" w:line="240" w:lineRule="auto"/>
        <w:ind w:left="360" w:hanging="180"/>
      </w:pPr>
      <w:r>
        <w:rPr>
          <w:color w:val="1F1F1F"/>
          <w:sz w:val="20"/>
        </w:rPr>
        <w:t xml:space="preserve">• </w:t>
      </w:r>
      <w:r>
        <w:rPr>
          <w:color w:val="1F1F1F"/>
          <w:sz w:val="18"/>
        </w:rPr>
        <w:t xml:space="preserve">Integrated multi-source enterprise data streams via Model Context Protocol servers, standardizing context schemas and eliminating data pipeline drift.</w:t>
      </w:r>
    </w:p>
    <w:p>
      <w:pPr>
        <w:spacing w:before="0" w:after="20" w:line="240" w:lineRule="auto"/>
        <w:ind w:left="360" w:hanging="180"/>
      </w:pPr>
      <w:r>
        <w:rPr>
          <w:color w:val="1F1F1F"/>
          <w:sz w:val="20"/>
        </w:rPr>
        <w:t xml:space="preserve">• </w:t>
      </w:r>
      <w:r>
        <w:rPr>
          <w:color w:val="1F1F1F"/>
          <w:sz w:val="18"/>
        </w:rPr>
        <w:t xml:space="preserve">Engineered automated reconciliation suites and deterministic footing checks, verifying that extracted detail rows mathematically reconcile to reported subtotals before data enters downstream analytical systems.</w:t>
      </w:r>
    </w:p>
    <w:p>
      <w:pPr>
        <w:spacing w:before="0" w:after="20" w:line="240" w:lineRule="auto"/>
        <w:ind w:left="360" w:hanging="180"/>
      </w:pPr>
      <w:r>
        <w:rPr>
          <w:color w:val="1F1F1F"/>
          <w:sz w:val="20"/>
        </w:rPr>
        <w:t xml:space="preserve">• </w:t>
      </w:r>
      <w:r>
        <w:rPr>
          <w:color w:val="1F1F1F"/>
          <w:sz w:val="18"/>
        </w:rPr>
        <w:t xml:space="preserve">Designed comprehensive data governance scorecards and compliance checklists aligned with NIST AI RMF 1.0 and enterprise data standards.</w:t>
      </w:r>
    </w:p>
    <w:p>
      <w:pPr>
        <w:spacing w:before="40" w:after="10" w:line="240" w:lineRule="auto"/>
      </w:pPr>
      <w:r>
        <w:rPr>
          <w:b/>
          <w:color w:val="17365D"/>
          <w:sz w:val="18"/>
        </w:rPr>
        <w:t xml:space="preserve">Program Analyst, Acquisition Directorate | U.S. Department of the Interior </w:t>
      </w:r>
      <w:r>
        <w:rPr>
          <w:i/>
          <w:color w:val="4A4A4A"/>
          <w:sz w:val="17"/>
        </w:rPr>
        <w:t xml:space="preserve">Denver, CO | Jan–Sep 2025</w:t>
      </w:r>
    </w:p>
    <w:p>
      <w:pPr>
        <w:spacing w:before="0" w:after="20" w:line="240" w:lineRule="auto"/>
      </w:pPr>
      <w:r>
        <w:rPr>
          <w:i/>
          <w:color w:val="4A4A4A"/>
          <w:sz w:val="17"/>
        </w:rPr>
        <w:t xml:space="preserve">Cross-functional Analyst lead for Acquisition Directorate enterprise systems and business technology; GS-13</w:t>
      </w:r>
    </w:p>
    <w:p>
      <w:pPr>
        <w:spacing w:before="0" w:after="20" w:line="240" w:lineRule="auto"/>
        <w:ind w:left="360" w:hanging="180"/>
      </w:pPr>
      <w:r>
        <w:rPr>
          <w:color w:val="1F1F1F"/>
          <w:sz w:val="20"/>
        </w:rPr>
        <w:t xml:space="preserve">• </w:t>
      </w:r>
      <w:r>
        <w:rPr>
          <w:color w:val="1F1F1F"/>
          <w:sz w:val="18"/>
        </w:rPr>
        <w:t xml:space="preserve">Senior operational lead for enterprise procurement and financial platforms, managing business workflows, assuring data integrity, and ensuring high-availability system reliability.</w:t>
      </w:r>
    </w:p>
    <w:p>
      <w:pPr>
        <w:spacing w:before="0" w:after="20" w:line="240" w:lineRule="auto"/>
        <w:ind w:left="360" w:hanging="180"/>
      </w:pPr>
      <w:r>
        <w:rPr>
          <w:color w:val="1F1F1F"/>
          <w:sz w:val="20"/>
        </w:rPr>
        <w:t xml:space="preserve">• </w:t>
      </w:r>
      <w:r>
        <w:rPr>
          <w:color w:val="1F1F1F"/>
          <w:sz w:val="18"/>
        </w:rPr>
        <w:t xml:space="preserve">Triaged enterprise data discrepancies and platform defects across technical and operational teams, accelerating resolution times and improving data consistency.</w:t>
      </w:r>
    </w:p>
    <w:p>
      <w:pPr>
        <w:spacing w:before="0" w:after="20" w:line="240" w:lineRule="auto"/>
        <w:ind w:left="360" w:hanging="180"/>
      </w:pPr>
      <w:r>
        <w:rPr>
          <w:color w:val="1F1F1F"/>
          <w:sz w:val="20"/>
        </w:rPr>
        <w:t xml:space="preserve">• </w:t>
      </w:r>
      <w:r>
        <w:rPr>
          <w:color w:val="1F1F1F"/>
          <w:sz w:val="18"/>
        </w:rPr>
        <w:t xml:space="preserve">Delivered targeted user training, SOP documentation, and operational guidance that improved system adoption and reduced repeat data errors.</w:t>
      </w:r>
    </w:p>
    <w:p>
      <w:pPr>
        <w:spacing w:before="0" w:after="20" w:line="240" w:lineRule="auto"/>
        <w:ind w:left="360" w:hanging="180"/>
      </w:pPr>
      <w:r>
        <w:rPr>
          <w:color w:val="1F1F1F"/>
          <w:sz w:val="20"/>
        </w:rPr>
        <w:t xml:space="preserve">• </w:t>
      </w:r>
      <w:r>
        <w:rPr>
          <w:color w:val="1F1F1F"/>
          <w:sz w:val="18"/>
        </w:rPr>
        <w:t xml:space="preserve">Resolved complex vendor platform defects and contractual billing data discrepancies.</w:t>
      </w:r>
    </w:p>
    <w:p>
      <w:pPr>
        <w:spacing w:before="40" w:after="10" w:line="240" w:lineRule="auto"/>
      </w:pPr>
      <w:r>
        <w:rPr>
          <w:b/>
          <w:color w:val="17365D"/>
          <w:sz w:val="18"/>
        </w:rPr>
        <w:t xml:space="preserve">Senior Analyst Consultant | ARK Solutions — Client : IBC Acquisition Directorate </w:t>
      </w:r>
      <w:r>
        <w:rPr>
          <w:i/>
          <w:color w:val="4A4A4A"/>
          <w:sz w:val="17"/>
        </w:rPr>
        <w:t xml:space="preserve">Denver, CO | 2011–2025</w:t>
      </w:r>
    </w:p>
    <w:p>
      <w:pPr>
        <w:spacing w:before="0" w:after="20" w:line="240" w:lineRule="auto"/>
      </w:pPr>
      <w:r>
        <w:rPr>
          <w:i/>
          <w:color w:val="4A4A4A"/>
          <w:sz w:val="17"/>
        </w:rPr>
        <w:t xml:space="preserve">14-year enterprise business support, data migration, vendor support &amp; client training</w:t>
      </w:r>
    </w:p>
    <w:p>
      <w:pPr>
        <w:spacing w:before="0" w:after="20" w:line="240" w:lineRule="auto"/>
        <w:ind w:left="360" w:hanging="180"/>
      </w:pPr>
      <w:r>
        <w:rPr>
          <w:color w:val="1F1F1F"/>
          <w:sz w:val="20"/>
        </w:rPr>
        <w:t xml:space="preserve">• </w:t>
      </w:r>
      <w:r>
        <w:rPr>
          <w:color w:val="1F1F1F"/>
          <w:sz w:val="18"/>
        </w:rPr>
        <w:t xml:space="preserve">Department ETL Architect for the FBMS enterprise data conversion for 4 agencies, migrating, cleansing, and validating bureau databases into SAP S/4.</w:t>
      </w:r>
    </w:p>
    <w:p>
      <w:pPr>
        <w:spacing w:before="0" w:after="20" w:line="240" w:lineRule="auto"/>
        <w:ind w:left="360" w:hanging="180"/>
      </w:pPr>
      <w:r>
        <w:rPr>
          <w:color w:val="1F1F1F"/>
          <w:sz w:val="20"/>
        </w:rPr>
        <w:t xml:space="preserve">• </w:t>
      </w:r>
      <w:r>
        <w:rPr>
          <w:color w:val="1F1F1F"/>
          <w:sz w:val="18"/>
        </w:rPr>
        <w:t xml:space="preserve">Authored detailed source-to-target mappings, business transformation rules, data lineage artifacts, and validation test plans for enterprise migration initiatives.</w:t>
      </w:r>
    </w:p>
    <w:p>
      <w:pPr>
        <w:spacing w:before="0" w:after="20" w:line="240" w:lineRule="auto"/>
        <w:ind w:left="360" w:hanging="180"/>
      </w:pPr>
      <w:r>
        <w:rPr>
          <w:color w:val="1F1F1F"/>
          <w:sz w:val="20"/>
        </w:rPr>
        <w:t xml:space="preserve">• </w:t>
      </w:r>
      <w:r>
        <w:rPr>
          <w:color w:val="1F1F1F"/>
          <w:sz w:val="18"/>
        </w:rPr>
        <w:t xml:space="preserve">Served as Senior Escalation Lead handling 5 to 10 mission-critical enterprise incidents daily; performed root-cause analysis to systematically eliminate recurring defect patterns.</w:t>
      </w:r>
    </w:p>
    <w:p>
      <w:pPr>
        <w:spacing w:before="0" w:after="20" w:line="240" w:lineRule="auto"/>
        <w:ind w:left="360" w:hanging="180"/>
      </w:pPr>
      <w:r>
        <w:rPr>
          <w:color w:val="1F1F1F"/>
          <w:sz w:val="20"/>
        </w:rPr>
        <w:t xml:space="preserve">• </w:t>
      </w:r>
      <w:r>
        <w:rPr>
          <w:color w:val="1F1F1F"/>
          <w:sz w:val="18"/>
        </w:rPr>
        <w:t xml:space="preserve">Implemented data reconciliation framework that resolved financial discrepancies between contracting officials and service providers, helping reclaim millions in funds.</w:t>
      </w:r>
    </w:p>
    <w:p>
      <w:pPr>
        <w:spacing w:before="0" w:after="20" w:line="240" w:lineRule="auto"/>
        <w:ind w:left="360" w:hanging="180"/>
      </w:pPr>
      <w:r>
        <w:rPr>
          <w:color w:val="1F1F1F"/>
          <w:sz w:val="20"/>
        </w:rPr>
        <w:t xml:space="preserve">• </w:t>
      </w:r>
      <w:r>
        <w:rPr>
          <w:color w:val="1F1F1F"/>
          <w:sz w:val="18"/>
        </w:rPr>
        <w:t xml:space="preserve">Administered Unison PRISM for 7 years, managing role-based access, schema enhancements, data integrity audits, and procurement workflow compliance.</w:t>
      </w:r>
    </w:p>
    <w:p>
      <w:pPr>
        <w:spacing w:before="0" w:after="20" w:line="240" w:lineRule="auto"/>
        <w:ind w:left="360" w:hanging="180"/>
      </w:pPr>
      <w:r>
        <w:rPr>
          <w:color w:val="1F1F1F"/>
          <w:sz w:val="20"/>
        </w:rPr>
        <w:t xml:space="preserve">• </w:t>
      </w:r>
      <w:r>
        <w:rPr>
          <w:color w:val="1F1F1F"/>
          <w:sz w:val="18"/>
        </w:rPr>
        <w:t xml:space="preserve">Member of DOI Special Interest Group advising FPDS reporting, exemption compliance, and enterprise data governance; performed DataAct Audit Analytics.</w:t>
      </w:r>
    </w:p>
    <w:p>
      <w:pPr>
        <w:spacing w:before="0" w:after="20" w:line="240" w:lineRule="auto"/>
        <w:ind w:left="360" w:hanging="180"/>
      </w:pPr>
      <w:r>
        <w:rPr>
          <w:color w:val="1F1F1F"/>
          <w:sz w:val="20"/>
        </w:rPr>
        <w:t xml:space="preserve">• </w:t>
      </w:r>
      <w:r>
        <w:rPr>
          <w:color w:val="1F1F1F"/>
          <w:sz w:val="18"/>
        </w:rPr>
        <w:t xml:space="preserve">Delivered agency-wide cohort enablement and client system training for 85+ users, transferring technical knowledge and establishing operational documentation.</w:t>
      </w:r>
    </w:p>
    <w:p>
      <w:pPr>
        <w:spacing w:before="40" w:after="10" w:line="240" w:lineRule="auto"/>
      </w:pPr>
      <w:r>
        <w:rPr>
          <w:b/>
          <w:color w:val="17365D"/>
          <w:sz w:val="18"/>
        </w:rPr>
        <w:t xml:space="preserve">Solutions Developer / Architect | Acxiom Corporation </w:t>
      </w:r>
      <w:r>
        <w:rPr>
          <w:i/>
          <w:color w:val="4A4A4A"/>
          <w:sz w:val="17"/>
        </w:rPr>
        <w:t xml:space="preserve">Little Rock, AR | 1999–2009</w:t>
      </w:r>
    </w:p>
    <w:p>
      <w:pPr>
        <w:spacing w:before="0" w:after="20" w:line="240" w:lineRule="auto"/>
      </w:pPr>
      <w:r>
        <w:rPr>
          <w:i/>
          <w:color w:val="4A4A4A"/>
          <w:sz w:val="17"/>
        </w:rPr>
        <w:t xml:space="preserve">Identity resolution, predictive scoring algorithms, and relational data warehousing; foundation of LiveRamp</w:t>
      </w:r>
    </w:p>
    <w:p>
      <w:pPr>
        <w:spacing w:before="0" w:after="20" w:line="240" w:lineRule="auto"/>
        <w:ind w:left="360" w:hanging="180"/>
      </w:pPr>
      <w:r>
        <w:rPr>
          <w:color w:val="1F1F1F"/>
          <w:sz w:val="20"/>
        </w:rPr>
        <w:t xml:space="preserve">• </w:t>
      </w:r>
      <w:r>
        <w:rPr>
          <w:color w:val="1F1F1F"/>
          <w:sz w:val="18"/>
        </w:rPr>
        <w:t xml:space="preserve">Lead Solution Architect &amp; ETL Analyst partnering with commercial enterprise clients including Citibank, GE Money, ChoicePoint, and Allstate to design customer data integration and data warehouse pipelines.</w:t>
      </w:r>
    </w:p>
    <w:p>
      <w:pPr>
        <w:spacing w:before="0" w:after="20" w:line="240" w:lineRule="auto"/>
        <w:ind w:left="360" w:hanging="180"/>
      </w:pPr>
      <w:r>
        <w:rPr>
          <w:color w:val="1F1F1F"/>
          <w:sz w:val="20"/>
        </w:rPr>
        <w:t xml:space="preserve">• </w:t>
      </w:r>
      <w:r>
        <w:rPr>
          <w:color w:val="1F1F1F"/>
          <w:sz w:val="18"/>
        </w:rPr>
        <w:t xml:space="preserve">Built and supported Customer 360 recognition, precision marketing, and entity resolution models linking disparate legacy consumer datasets.</w:t>
      </w:r>
    </w:p>
    <w:p>
      <w:pPr>
        <w:spacing w:before="0" w:after="20" w:line="240" w:lineRule="auto"/>
        <w:ind w:left="360" w:hanging="180"/>
      </w:pPr>
      <w:r>
        <w:rPr>
          <w:color w:val="1F1F1F"/>
          <w:sz w:val="20"/>
        </w:rPr>
        <w:t xml:space="preserve">• </w:t>
      </w:r>
      <w:r>
        <w:rPr>
          <w:color w:val="1F1F1F"/>
          <w:sz w:val="18"/>
        </w:rPr>
        <w:t xml:space="preserve">Built Citibank's online identity scoring model and real-time algorithmic verification pipeline for fraud prevention.</w:t>
      </w:r>
    </w:p>
    <w:p>
      <w:pPr>
        <w:spacing w:before="0" w:after="20" w:line="240" w:lineRule="auto"/>
        <w:ind w:left="360" w:hanging="180"/>
      </w:pPr>
      <w:r>
        <w:rPr>
          <w:color w:val="1F1F1F"/>
          <w:sz w:val="20"/>
        </w:rPr>
        <w:t xml:space="preserve">• </w:t>
      </w:r>
      <w:r>
        <w:rPr>
          <w:color w:val="1F1F1F"/>
          <w:sz w:val="18"/>
        </w:rPr>
        <w:t xml:space="preserve">Standardized company-wide SDLC/SCM methodology as a process-improvement specialist on the Acxiom Methodology Board, leading cross-functional teams across PMO and engineering.</w:t>
      </w:r>
    </w:p>
    <w:p>
      <w:pPr>
        <w:spacing w:before="0" w:after="20" w:line="240" w:lineRule="auto"/>
        <w:ind w:left="360" w:hanging="180"/>
      </w:pPr>
      <w:r>
        <w:rPr>
          <w:color w:val="1F1F1F"/>
          <w:sz w:val="20"/>
        </w:rPr>
        <w:t xml:space="preserve">• </w:t>
      </w:r>
      <w:r>
        <w:rPr>
          <w:color w:val="1F1F1F"/>
          <w:sz w:val="18"/>
        </w:rPr>
        <w:t xml:space="preserve">Provided production support and technical data analysis for Application Verification System, ensuring strict SLA compliance and data quality.</w:t>
      </w:r>
    </w:p>
    <w:p>
      <w:pPr>
        <w:spacing w:before="100" w:after="40" w:line="240" w:lineRule="auto"/>
        <w:pBdr>
          <w:bottom w:val="single" w:sz="6" w:space="4" w:color="17365D"/>
        </w:pBdr>
      </w:pPr>
      <w:r>
        <w:rPr>
          <w:rFonts w:ascii="Times New Roman" w:hAnsi="Times New Roman"/>
          <w:b/>
          <w:color w:val="17365D"/>
          <w:sz w:val="20"/>
        </w:rPr>
        <w:t xml:space="preserve">AI &amp; DATA ENGINEERING PORTFOLIO</w:t>
      </w:r>
    </w:p>
    <w:p>
      <w:pPr>
        <w:spacing w:before="40" w:after="10" w:line="240" w:lineRule="auto"/>
      </w:pPr>
      <w:r>
        <w:rPr>
          <w:b/>
          <w:color w:val="17365D"/>
          <w:sz w:val="18"/>
        </w:rPr>
        <w:t xml:space="preserve">Multimodal Document Intelligence — Auditable Data Extraction Pipeline </w:t>
      </w:r>
      <w:r>
        <w:rPr>
          <w:i/>
          <w:color w:val="4A4A4A"/>
          <w:sz w:val="17"/>
        </w:rPr>
        <w:t xml:space="preserve">Stanford | 2026</w:t>
      </w:r>
    </w:p>
    <w:p>
      <w:pPr>
        <w:spacing w:before="0" w:after="20" w:line="240" w:lineRule="auto"/>
        <w:ind w:left="360" w:hanging="180"/>
      </w:pPr>
      <w:r>
        <w:rPr>
          <w:color w:val="1F1F1F"/>
          <w:sz w:val="20"/>
        </w:rPr>
        <w:t xml:space="preserve">• </w:t>
      </w:r>
      <w:r>
        <w:rPr>
          <w:color w:val="1F1F1F"/>
          <w:sz w:val="18"/>
        </w:rPr>
        <w:t xml:space="preserve">Built an auditable document intelligence pipeline using LangGraph StateGraph &amp; OCR parsing for unstructured business records.</w:t>
      </w:r>
    </w:p>
    <w:p>
      <w:pPr>
        <w:spacing w:before="0" w:after="20" w:line="240" w:lineRule="auto"/>
        <w:ind w:left="360" w:hanging="180"/>
      </w:pPr>
      <w:r>
        <w:rPr>
          <w:color w:val="1F1F1F"/>
          <w:sz w:val="20"/>
        </w:rPr>
        <w:t xml:space="preserve">• </w:t>
      </w:r>
      <w:r>
        <w:rPr>
          <w:color w:val="1F1F1F"/>
          <w:sz w:val="18"/>
        </w:rPr>
        <w:t xml:space="preserve">Enforced Pydantic contract validation, confidence scoring, schema-governed conditional routing, and semantic retrieval.</w:t>
      </w:r>
    </w:p>
    <w:p>
      <w:pPr>
        <w:spacing w:before="40" w:after="10" w:line="240" w:lineRule="auto"/>
      </w:pPr>
      <w:r>
        <w:rPr>
          <w:b/>
          <w:color w:val="17365D"/>
          <w:sz w:val="18"/>
        </w:rPr>
        <w:t xml:space="preserve">Trading Copilot — Governed Multi-Agent Research Platform </w:t>
      </w:r>
      <w:r>
        <w:rPr>
          <w:i/>
          <w:color w:val="4A4A4A"/>
          <w:sz w:val="17"/>
        </w:rPr>
        <w:t xml:space="preserve">AI in Finance Nicole Koenigstein</w:t>
      </w:r>
    </w:p>
    <w:p>
      <w:pPr>
        <w:spacing w:before="0" w:after="20" w:line="240" w:lineRule="auto"/>
        <w:ind w:left="360" w:hanging="180"/>
      </w:pPr>
      <w:r>
        <w:rPr>
          <w:color w:val="1F1F1F"/>
          <w:sz w:val="20"/>
        </w:rPr>
        <w:t xml:space="preserve">• </w:t>
      </w:r>
      <w:r>
        <w:rPr>
          <w:color w:val="1F1F1F"/>
          <w:sz w:val="18"/>
        </w:rPr>
        <w:t xml:space="preserve">Architected multi-agent equities research pipelines combining hierarchical data ingestion, tabular footing reconciliation, and deterministic data validation gates.</w:t>
      </w:r>
    </w:p>
    <w:p>
      <w:pPr>
        <w:spacing w:before="40" w:after="10" w:line="240" w:lineRule="auto"/>
      </w:pPr>
      <w:r>
        <w:rPr>
          <w:b/>
          <w:color w:val="17365D"/>
          <w:sz w:val="18"/>
        </w:rPr>
        <w:t xml:space="preserve">Rental Housing Law Navigator — Regulatory Decision-Support Application </w:t>
      </w:r>
      <w:r>
        <w:rPr>
          <w:i/>
          <w:color w:val="4A4A4A"/>
          <w:sz w:val="17"/>
        </w:rPr>
        <w:t xml:space="preserve">Global AI Hackathon 2026</w:t>
      </w:r>
    </w:p>
    <w:p>
      <w:pPr>
        <w:spacing w:before="0" w:after="20" w:line="240" w:lineRule="auto"/>
        <w:ind w:left="360" w:hanging="180"/>
      </w:pPr>
      <w:r>
        <w:rPr>
          <w:color w:val="1F1F1F"/>
          <w:sz w:val="20"/>
        </w:rPr>
        <w:t xml:space="preserve">• </w:t>
      </w:r>
      <w:r>
        <w:rPr>
          <w:color w:val="1F1F1F"/>
          <w:sz w:val="18"/>
        </w:rPr>
        <w:t xml:space="preserve">Engineered full-stack regulatory decision application linking Lovable frontend, Google Cloud Run, Python/FastAPI backend.</w:t>
      </w:r>
    </w:p>
    <w:p>
      <w:pPr>
        <w:spacing w:before="40" w:after="10" w:line="240" w:lineRule="auto"/>
      </w:pPr>
      <w:r>
        <w:rPr>
          <w:b/>
          <w:color w:val="17365D"/>
          <w:sz w:val="18"/>
        </w:rPr>
        <w:t xml:space="preserve">AI Incident Monitor — AI Risk Intelligence Platform </w:t>
      </w:r>
      <w:r>
        <w:rPr>
          <w:i/>
          <w:color w:val="4A4A4A"/>
          <w:sz w:val="17"/>
        </w:rPr>
        <w:t xml:space="preserve">AI Guardians LLC | 2026</w:t>
      </w:r>
    </w:p>
    <w:p>
      <w:pPr>
        <w:spacing w:before="0" w:after="20" w:line="240" w:lineRule="auto"/>
        <w:ind w:left="360" w:hanging="180"/>
      </w:pPr>
      <w:r>
        <w:rPr>
          <w:color w:val="1F1F1F"/>
          <w:sz w:val="20"/>
        </w:rPr>
        <w:t xml:space="preserve">• </w:t>
      </w:r>
      <w:r>
        <w:rPr>
          <w:color w:val="1F1F1F"/>
          <w:sz w:val="18"/>
        </w:rPr>
        <w:t xml:space="preserve">Architected Explainable AI incident severity scoring and compliance taxonomy mapping based on NIST AI RMF 1.0.</w:t>
      </w:r>
    </w:p>
    <w:p>
      <w:pPr>
        <w:spacing w:before="100" w:after="40" w:line="240" w:lineRule="auto"/>
        <w:pBdr>
          <w:bottom w:val="single" w:sz="6" w:space="4" w:color="17365D"/>
        </w:pBdr>
      </w:pPr>
      <w:r>
        <w:rPr>
          <w:rFonts w:ascii="Times New Roman" w:hAnsi="Times New Roman"/>
          <w:b/>
          <w:color w:val="17365D"/>
          <w:sz w:val="20"/>
        </w:rPr>
        <w:t xml:space="preserve">EDUCATION &amp; PROFESSIONAL DEVELOPMENT</w:t>
      </w:r>
    </w:p>
    <w:p>
      <w:pPr>
        <w:spacing w:before="0" w:after="20" w:line="240" w:lineRule="auto"/>
        <w:ind w:left="360" w:hanging="180"/>
      </w:pPr>
      <w:r>
        <w:rPr>
          <w:color w:val="1F1F1F"/>
          <w:sz w:val="20"/>
        </w:rPr>
        <w:t xml:space="preserve">• </w:t>
      </w:r>
      <w:r>
        <w:rPr>
          <w:b/>
          <w:color w:val="1F1F1F"/>
          <w:sz w:val="18"/>
        </w:rPr>
        <w:t xml:space="preserve">OpenAI Codex:</w:t>
      </w:r>
      <w:r>
        <w:rPr>
          <w:color w:val="1F1F1F"/>
          <w:sz w:val="18"/>
        </w:rPr>
        <w:t xml:space="preserve"> Agent Orchestration • MCP Integration • Context Engineering — Completed 7 intensive bootcamps across Fundamentals, Codex 201, and Codex 301 covering Plan Mode, parallel worktrees, runtime hooks, and automated build–test–fix loops</w:t>
      </w:r>
    </w:p>
    <w:p>
      <w:pPr>
        <w:spacing w:before="0" w:after="20" w:line="240" w:lineRule="auto"/>
        <w:ind w:left="360" w:hanging="180"/>
      </w:pPr>
      <w:r>
        <w:rPr>
          <w:color w:val="1F1F1F"/>
          <w:sz w:val="20"/>
        </w:rPr>
        <w:t xml:space="preserve">• </w:t>
      </w:r>
      <w:r>
        <w:rPr>
          <w:b/>
          <w:color w:val="1F1F1F"/>
          <w:sz w:val="18"/>
        </w:rPr>
        <w:t xml:space="preserve">University of Denver:</w:t>
      </w:r>
      <w:r>
        <w:rPr>
          <w:color w:val="1F1F1F"/>
          <w:sz w:val="18"/>
        </w:rPr>
        <w:t xml:space="preserve"> Graduate Certificate, AI Strategy &amp; Applications in IT</w:t>
      </w:r>
    </w:p>
    <w:p>
      <w:pPr>
        <w:spacing w:before="0" w:after="20" w:line="240" w:lineRule="auto"/>
        <w:ind w:left="360" w:hanging="180"/>
      </w:pPr>
      <w:r>
        <w:rPr>
          <w:color w:val="1F1F1F"/>
          <w:sz w:val="20"/>
        </w:rPr>
        <w:t xml:space="preserve">• </w:t>
      </w:r>
      <w:r>
        <w:rPr>
          <w:b/>
          <w:color w:val="1F1F1F"/>
          <w:sz w:val="18"/>
        </w:rPr>
        <w:t xml:space="preserve">M.S. &amp; B.S., Computer Science:</w:t>
      </w:r>
      <w:r>
        <w:rPr>
          <w:color w:val="1F1F1F"/>
          <w:sz w:val="18"/>
        </w:rPr>
        <w:t xml:space="preserve"> St. Joseph's College</w:t>
      </w:r>
    </w:p>
    <w:p>
      <w:pPr>
        <w:spacing w:before="0" w:after="20" w:line="240" w:lineRule="auto"/>
        <w:ind w:left="360" w:hanging="180"/>
      </w:pPr>
      <w:r>
        <w:rPr>
          <w:color w:val="1F1F1F"/>
          <w:sz w:val="20"/>
        </w:rPr>
        <w:t xml:space="preserve">• </w:t>
      </w:r>
      <w:r>
        <w:rPr>
          <w:b/>
          <w:color w:val="1F1F1F"/>
          <w:sz w:val="18"/>
        </w:rPr>
        <w:t xml:space="preserve">Stanford Continuing Studies:</w:t>
      </w:r>
      <w:r>
        <w:rPr>
          <w:color w:val="1F1F1F"/>
          <w:sz w:val="18"/>
        </w:rPr>
        <w:t xml:space="preserve"> Data Analysis with Python • Modern AI Architectures • AI Accountability</w:t>
      </w:r>
    </w:p>
    <w:p>
      <w:pPr>
        <w:spacing w:before="0" w:after="20" w:line="240" w:lineRule="auto"/>
        <w:ind w:left="360" w:hanging="180"/>
      </w:pPr>
      <w:r>
        <w:rPr>
          <w:color w:val="1F1F1F"/>
          <w:sz w:val="20"/>
        </w:rPr>
        <w:t xml:space="preserve">• </w:t>
      </w:r>
      <w:r>
        <w:rPr>
          <w:b/>
          <w:color w:val="1F1F1F"/>
          <w:sz w:val="18"/>
        </w:rPr>
        <w:t xml:space="preserve">Harvard John A. Paulson SEAS:</w:t>
      </w:r>
      <w:r>
        <w:rPr>
          <w:color w:val="1F1F1F"/>
          <w:sz w:val="18"/>
        </w:rPr>
        <w:t xml:space="preserve"> Executive Certificate — LLMs: Transformer to Agentic AI</w:t>
      </w:r>
    </w:p>
    <w:p>
      <w:pPr>
        <w:spacing w:before="0" w:after="20" w:line="240" w:lineRule="auto"/>
        <w:ind w:left="360" w:hanging="180"/>
      </w:pPr>
      <w:r>
        <w:rPr>
          <w:color w:val="1F1F1F"/>
          <w:sz w:val="20"/>
        </w:rPr>
        <w:t xml:space="preserve">• </w:t>
      </w:r>
      <w:r>
        <w:rPr>
          <w:b/>
          <w:color w:val="1F1F1F"/>
          <w:sz w:val="18"/>
        </w:rPr>
        <w:t xml:space="preserve">UC Berkeley Extension:</w:t>
      </w:r>
      <w:r>
        <w:rPr>
          <w:color w:val="1F1F1F"/>
          <w:sz w:val="18"/>
        </w:rPr>
        <w:t xml:space="preserve"> Machine Learning and Deep Learning with Spark</w:t>
      </w:r>
    </w:p>
    <w:p>
      <w:pPr>
        <w:spacing w:before="0" w:after="20" w:line="240" w:lineRule="auto"/>
        <w:ind w:left="360" w:hanging="180"/>
      </w:pPr>
      <w:r>
        <w:rPr>
          <w:color w:val="1F1F1F"/>
          <w:sz w:val="20"/>
        </w:rPr>
        <w:t xml:space="preserve">• </w:t>
      </w:r>
      <w:r>
        <w:rPr>
          <w:b/>
          <w:color w:val="1F1F1F"/>
          <w:sz w:val="18"/>
        </w:rPr>
        <w:t xml:space="preserve">Honors &amp; Awards:</w:t>
      </w:r>
      <w:r>
        <w:rPr>
          <w:color w:val="1F1F1F"/>
          <w:sz w:val="18"/>
        </w:rPr>
        <w:t xml:space="preserve"> Interior Business Center Award for Excellence • DOI FBMS Special Recognition</w:t>
      </w:r>
    </w:p>
    <w:p>
      <w:pPr>
        <w:spacing w:before="0" w:after="20" w:line="240" w:lineRule="auto"/>
        <w:ind w:left="360" w:hanging="180"/>
      </w:pPr>
      <w:r>
        <w:rPr>
          <w:color w:val="1F1F1F"/>
          <w:sz w:val="20"/>
        </w:rPr>
        <w:t xml:space="preserve">• </w:t>
      </w:r>
      <w:r>
        <w:rPr>
          <w:b/>
          <w:color w:val="1F1F1F"/>
          <w:sz w:val="18"/>
        </w:rPr>
        <w:t xml:space="preserve">AI Tech and Privacy Academy:</w:t>
      </w:r>
      <w:r>
        <w:rPr>
          <w:color w:val="1F1F1F"/>
          <w:sz w:val="18"/>
        </w:rPr>
        <w:t xml:space="preserve"> AI Governance &amp; Privacy Frameworks</w:t>
      </w:r>
    </w:p>
    <w:p>
      <w:pPr>
        <w:spacing w:before="100" w:after="40" w:line="240" w:lineRule="auto"/>
        <w:pBdr>
          <w:bottom w:val="single" w:sz="6" w:space="4" w:color="17365D"/>
        </w:pBdr>
      </w:pPr>
      <w:r>
        <w:rPr>
          <w:rFonts w:ascii="Times New Roman" w:hAnsi="Times New Roman"/>
          <w:b/>
          <w:color w:val="17365D"/>
          <w:sz w:val="20"/>
        </w:rPr>
        <w:t xml:space="preserve">TECHNICAL PROFICIENCIES</w:t>
      </w:r>
    </w:p>
    <w:p>
      <w:pPr>
        <w:spacing w:before="0" w:after="20" w:line="240" w:lineRule="auto"/>
        <w:ind w:left="360" w:hanging="180"/>
      </w:pPr>
      <w:r>
        <w:rPr>
          <w:color w:val="1F1F1F"/>
          <w:sz w:val="20"/>
        </w:rPr>
        <w:t xml:space="preserve">• </w:t>
      </w:r>
      <w:r>
        <w:rPr>
          <w:b/>
          <w:color w:val="1F1F1F"/>
          <w:sz w:val="18"/>
        </w:rPr>
        <w:t xml:space="preserve">Data Integration &amp; ETL/ELT Architectures:</w:t>
      </w:r>
      <w:r>
        <w:rPr>
          <w:color w:val="1F1F1F"/>
          <w:sz w:val="18"/>
        </w:rPr>
        <w:t xml:space="preserve"> Source-to-Target Mapping • Enterprise Data Migration • Data Extraction, Transformation &amp; Loading • Ingestion Patterns • Data Cleansing &amp; Deduplication • Reconciliation Frameworks &amp; Footing Checks • Data Lineage Tracking • Schema-Governed Validation</w:t>
      </w:r>
    </w:p>
    <w:p>
      <w:pPr>
        <w:spacing w:before="0" w:after="20" w:line="240" w:lineRule="auto"/>
        <w:ind w:left="360" w:hanging="180"/>
      </w:pPr>
      <w:r>
        <w:rPr>
          <w:color w:val="1F1F1F"/>
          <w:sz w:val="20"/>
        </w:rPr>
        <w:t xml:space="preserve">• </w:t>
      </w:r>
      <w:r>
        <w:rPr>
          <w:b/>
          <w:color w:val="1F1F1F"/>
          <w:sz w:val="18"/>
        </w:rPr>
        <w:t xml:space="preserve">Relational Databases &amp; Query Languages:</w:t>
      </w:r>
      <w:r>
        <w:rPr>
          <w:color w:val="1F1F1F"/>
          <w:sz w:val="18"/>
        </w:rPr>
        <w:t xml:space="preserve"> Advanced SQL &amp; Complex Queries • Oracle • PostgreSQL • SQL Server • MySQL • Relational Schema Design • Schema Normalization • Query Optimization • Indexing &amp; Constraints</w:t>
      </w:r>
    </w:p>
    <w:p>
      <w:pPr>
        <w:spacing w:before="0" w:after="20" w:line="240" w:lineRule="auto"/>
        <w:ind w:left="360" w:hanging="180"/>
      </w:pPr>
      <w:r>
        <w:rPr>
          <w:color w:val="1F1F1F"/>
          <w:sz w:val="20"/>
        </w:rPr>
        <w:t xml:space="preserve">• </w:t>
      </w:r>
      <w:r>
        <w:rPr>
          <w:b/>
          <w:color w:val="1F1F1F"/>
          <w:sz w:val="18"/>
        </w:rPr>
        <w:t xml:space="preserve">Enterprise CRM &amp; Business Systems:</w:t>
      </w:r>
      <w:r>
        <w:rPr>
          <w:color w:val="1F1F1F"/>
          <w:sz w:val="18"/>
        </w:rPr>
        <w:t xml:space="preserve"> CRM Data Architecture Concepts • Salesforce Platform Ecosystem — Data Cloud, Sales Cloud, Service Cloud, and Education Cloud data models • SAP S/4HANA FBMS • Unison PRISM • Remedy • Higher Education Data Flows</w:t>
      </w:r>
    </w:p>
    <w:p>
      <w:pPr>
        <w:spacing w:before="0" w:after="20" w:line="240" w:lineRule="auto"/>
        <w:ind w:left="360" w:hanging="180"/>
      </w:pPr>
      <w:r>
        <w:rPr>
          <w:color w:val="1F1F1F"/>
          <w:sz w:val="20"/>
        </w:rPr>
        <w:t xml:space="preserve">• </w:t>
      </w:r>
      <w:r>
        <w:rPr>
          <w:b/>
          <w:color w:val="1F1F1F"/>
          <w:sz w:val="18"/>
        </w:rPr>
        <w:t xml:space="preserve">Software Engineering &amp; Analytical Workflows:</w:t>
      </w:r>
      <w:r>
        <w:rPr>
          <w:color w:val="1F1F1F"/>
          <w:sz w:val="18"/>
        </w:rPr>
        <w:t xml:space="preserve"> Python • pandas &amp; NumPy • FastAPI • Pydantic Contract Validation • SQLAlchemy • RESTful API Contracts • JSON Schema • pytest • Git &amp; GitHub • Cloud Run Deployment</w:t>
      </w:r>
    </w:p>
    <w:p>
      <w:pPr>
        <w:spacing w:before="0" w:after="20" w:line="240" w:lineRule="auto"/>
        <w:ind w:left="360" w:hanging="180"/>
      </w:pPr>
      <w:r>
        <w:rPr>
          <w:color w:val="1F1F1F"/>
          <w:sz w:val="20"/>
        </w:rPr>
        <w:t xml:space="preserve">• </w:t>
      </w:r>
      <w:r>
        <w:rPr>
          <w:b/>
          <w:color w:val="1F1F1F"/>
          <w:sz w:val="18"/>
        </w:rPr>
        <w:t xml:space="preserve">Data Quality, Governance &amp; Stewardship:</w:t>
      </w:r>
      <w:r>
        <w:rPr>
          <w:color w:val="1F1F1F"/>
          <w:sz w:val="18"/>
        </w:rPr>
        <w:t xml:space="preserve"> Data Quality Profiling &amp; Monitoring • Root Cause Defect Analysis • Metadata Management • Data Steward Approval Workflows • Standard Operating Procedures • Knowledge Transfer &amp; Team Mentorship</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github.com/EbeDenver" TargetMode="External"/>
  <Relationship Id="rIdHyperlink3" Type="http://schemas.openxmlformats.org/officeDocument/2006/relationships/hyperlink" Target="https://portal.aiguardiansllc.us/" TargetMode="External"/>
</Relationships>
</file>