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BSI INTERVIEW PREPARATION PACKAGE</w:t>
      </w:r>
    </w:p>
    <w:p>
      <w:pPr>
        <w:spacing w:before="0" w:after="200"/>
      </w:pPr>
      <w:r>
        <w:rPr>
          <w:rFonts w:ascii="Calibri" w:hAnsi="Calibri"/>
          <w:color w:val="5A6978"/>
          <w:sz w:val="19"/>
        </w:rPr>
        <w:t>AI Technical Specialist • Requisition JR0020733-1 • Candidate: Ebenezer J. Rolston</w:t>
      </w:r>
    </w:p>
    <w:p>
      <w:pPr>
        <w:spacing w:before="0" w:after="80"/>
      </w:pPr>
      <w:r>
        <w:rPr>
          <w:rFonts w:ascii="Calibri" w:hAnsi="Calibri"/>
          <w:color w:val="28323C"/>
          <w:sz w:val="19"/>
        </w:rPr>
      </w:r>
      <w:r>
        <w:rPr>
          <w:rFonts w:ascii="Calibri" w:hAnsi="Calibri"/>
          <w:b/>
          <w:color w:val="28323C"/>
          <w:sz w:val="19"/>
        </w:rPr>
        <w:t>AI Technical Specialist | Artificial Intelligence Notified Body | Requisition JR0020733-1</w:t>
      </w:r>
      <w:r>
        <w:rPr>
          <w:rFonts w:ascii="Calibri" w:hAnsi="Calibri"/>
          <w:color w:val="28323C"/>
          <w:sz w:val="19"/>
        </w:rPr>
        <w:t xml:space="preserve">  </w:t>
      </w:r>
    </w:p>
    <w:p>
      <w:pPr>
        <w:spacing w:before="0" w:after="80"/>
      </w:pPr>
      <w:r>
        <w:rPr>
          <w:rFonts w:ascii="Calibri" w:hAnsi="Calibri"/>
          <w:color w:val="28323C"/>
          <w:sz w:val="19"/>
        </w:rPr>
        <w:t>Candidate: Ebenezer J. Rolston (Denver, CO) • Prepared for BSI Conformity Assessment Leadership &amp; Technical Interview Panel</w:t>
      </w:r>
    </w:p>
    <w:p>
      <w:pPr>
        <w:spacing w:before="200" w:after="80"/>
      </w:pPr>
      <w:r>
        <w:rPr>
          <w:rFonts w:ascii="Calibri" w:hAnsi="Calibri"/>
          <w:b/>
          <w:color w:val="17365D"/>
          <w:sz w:val="23"/>
        </w:rPr>
        <w:t>1. BSI &amp; AI Notified Body Strategic Context</w:t>
      </w:r>
    </w:p>
    <w:p>
      <w:pPr>
        <w:spacing w:before="0" w:after="80"/>
      </w:pPr>
      <w:r>
        <w:rPr>
          <w:rFonts w:ascii="Calibri" w:hAnsi="Calibri"/>
          <w:color w:val="28323C"/>
          <w:sz w:val="19"/>
        </w:rPr>
        <w:t xml:space="preserve">The British Standards Institution (BSI) was incorporated by Royal Charter and is the world's first national standards organization. As an accredited Notified Body in Europe (BSI Group The Netherlands B.V., NB 2797), BSI is positioned at the forefront of global AI regulation. Under the </w:t>
      </w:r>
      <w:r>
        <w:rPr>
          <w:rFonts w:ascii="Calibri" w:hAnsi="Calibri"/>
          <w:b/>
          <w:color w:val="28323C"/>
          <w:sz w:val="19"/>
        </w:rPr>
        <w:t>EU AI Act</w:t>
      </w:r>
      <w:r>
        <w:rPr>
          <w:rFonts w:ascii="Calibri" w:hAnsi="Calibri"/>
          <w:color w:val="28323C"/>
          <w:sz w:val="19"/>
        </w:rPr>
        <w:t xml:space="preserve">, providers of High-Risk AI systems (e.g. AI-enabled medical devices, critical infrastructure, biometrics) must undergo rigorous </w:t>
      </w:r>
      <w:r>
        <w:rPr>
          <w:rFonts w:ascii="Calibri" w:hAnsi="Calibri"/>
          <w:b/>
          <w:color w:val="28323C"/>
          <w:sz w:val="19"/>
        </w:rPr>
        <w:t>Conformity Assessments</w:t>
      </w:r>
      <w:r>
        <w:rPr>
          <w:rFonts w:ascii="Calibri" w:hAnsi="Calibri"/>
          <w:color w:val="28323C"/>
          <w:sz w:val="19"/>
        </w:rPr>
        <w:t xml:space="preserve"> before placing systems on the EU market and bearing the CE mark.</w:t>
      </w:r>
    </w:p>
    <w:p>
      <w:pPr>
        <w:spacing w:before="120" w:after="40"/>
      </w:pPr>
      <w:r>
        <w:rPr>
          <w:rFonts w:ascii="Calibri" w:hAnsi="Calibri"/>
          <w:b/>
          <w:color w:val="28466E"/>
          <w:sz w:val="21"/>
        </w:rPr>
        <w:t>Key Dimensions of the AI Technical Specialist Role:</w:t>
      </w:r>
    </w:p>
    <w:p>
      <w:pPr>
        <w:pStyle w:val="ListBullet"/>
        <w:spacing w:before="0" w:after="40"/>
      </w:pPr>
      <w:r>
        <w:rPr>
          <w:rFonts w:ascii="Calibri" w:hAnsi="Calibri"/>
          <w:color w:val="28323C"/>
          <w:sz w:val="19"/>
        </w:rPr>
      </w:r>
      <w:r>
        <w:rPr>
          <w:rFonts w:ascii="Calibri" w:hAnsi="Calibri"/>
          <w:b/>
          <w:color w:val="28323C"/>
          <w:sz w:val="19"/>
        </w:rPr>
        <w:t>Technical Documentation Assessment:</w:t>
      </w:r>
      <w:r>
        <w:rPr>
          <w:rFonts w:ascii="Calibri" w:hAnsi="Calibri"/>
          <w:color w:val="28323C"/>
          <w:sz w:val="19"/>
        </w:rPr>
        <w:t xml:space="preserve"> Scrutinizing the manufacturer's technical dossier—including training data provenance, data labeling protocols, model architecture, validation methodologies, test metrics, and cybersecurity safeguards—against harmonized standards (e.g., ISO/IEC 42001, ISO/IEC 23894, ISO/IEC 22989).</w:t>
      </w:r>
    </w:p>
    <w:p>
      <w:pPr>
        <w:pStyle w:val="ListBullet"/>
        <w:spacing w:before="0" w:after="40"/>
      </w:pPr>
      <w:r>
        <w:rPr>
          <w:rFonts w:ascii="Calibri" w:hAnsi="Calibri"/>
          <w:color w:val="28323C"/>
          <w:sz w:val="19"/>
        </w:rPr>
      </w:r>
      <w:r>
        <w:rPr>
          <w:rFonts w:ascii="Calibri" w:hAnsi="Calibri"/>
          <w:b/>
          <w:color w:val="28323C"/>
          <w:sz w:val="19"/>
        </w:rPr>
        <w:t>Evaluating Model Robustness &amp; Generalizability:</w:t>
      </w:r>
      <w:r>
        <w:rPr>
          <w:rFonts w:ascii="Calibri" w:hAnsi="Calibri"/>
          <w:color w:val="28323C"/>
          <w:sz w:val="19"/>
        </w:rPr>
        <w:t xml:space="preserve"> Interrogating whether the model has been adequately tested against distribution shifts, adversarial attacks, edge-case failure modes, and demographic bias.</w:t>
      </w:r>
    </w:p>
    <w:p>
      <w:pPr>
        <w:pStyle w:val="ListBullet"/>
        <w:spacing w:before="0" w:after="40"/>
      </w:pPr>
      <w:r>
        <w:rPr>
          <w:rFonts w:ascii="Calibri" w:hAnsi="Calibri"/>
          <w:color w:val="28323C"/>
          <w:sz w:val="19"/>
        </w:rPr>
      </w:r>
      <w:r>
        <w:rPr>
          <w:rFonts w:ascii="Calibri" w:hAnsi="Calibri"/>
          <w:b/>
          <w:color w:val="28323C"/>
          <w:sz w:val="19"/>
        </w:rPr>
        <w:t>Auditing the AI Quality Management System (QMS):</w:t>
      </w:r>
      <w:r>
        <w:rPr>
          <w:rFonts w:ascii="Calibri" w:hAnsi="Calibri"/>
          <w:color w:val="28323C"/>
          <w:sz w:val="19"/>
        </w:rPr>
        <w:t xml:space="preserve"> Ensuring the developer maintains continuous risk management, post-market monitoring, incident reporting, and change management procedures throughout the AI lifecycle.</w:t>
      </w:r>
    </w:p>
    <w:p>
      <w:pPr>
        <w:pStyle w:val="ListBullet"/>
        <w:spacing w:before="0" w:after="40"/>
      </w:pPr>
      <w:r>
        <w:rPr>
          <w:rFonts w:ascii="Calibri" w:hAnsi="Calibri"/>
          <w:color w:val="28323C"/>
          <w:sz w:val="19"/>
        </w:rPr>
      </w:r>
      <w:r>
        <w:rPr>
          <w:rFonts w:ascii="Calibri" w:hAnsi="Calibri"/>
          <w:b/>
          <w:color w:val="28323C"/>
          <w:sz w:val="19"/>
        </w:rPr>
        <w:t>Evaluating Agentic AI Systems:</w:t>
      </w:r>
      <w:r>
        <w:rPr>
          <w:rFonts w:ascii="Calibri" w:hAnsi="Calibri"/>
          <w:color w:val="28323C"/>
          <w:sz w:val="19"/>
        </w:rPr>
        <w:t xml:space="preserve"> Increasingly, BSI will assess autonomous agent-based systems where the harness architecture, loop governance, termination conditions, and execution sandboxing are as critical as the underlying model performance.</w:t>
      </w:r>
    </w:p>
    <w:p>
      <w:pPr>
        <w:pStyle w:val="ListBullet"/>
        <w:spacing w:before="0" w:after="40"/>
      </w:pPr>
      <w:r>
        <w:rPr>
          <w:rFonts w:ascii="Calibri" w:hAnsi="Calibri"/>
          <w:color w:val="28323C"/>
          <w:sz w:val="19"/>
        </w:rPr>
      </w:r>
      <w:r>
        <w:rPr>
          <w:rFonts w:ascii="Calibri" w:hAnsi="Calibri"/>
          <w:b/>
          <w:color w:val="28323C"/>
          <w:sz w:val="19"/>
        </w:rPr>
        <w:t>Client Technical Engagement &amp; Advisory:</w:t>
      </w:r>
      <w:r>
        <w:rPr>
          <w:rFonts w:ascii="Calibri" w:hAnsi="Calibri"/>
          <w:color w:val="28323C"/>
          <w:sz w:val="19"/>
        </w:rPr>
        <w:t xml:space="preserve"> Engaging with client engineering and regulatory affairs teams in technical meetings, communicating non-conformities with precision, and guiding them on certification expectations.</w:t>
      </w:r>
    </w:p>
    <w:p>
      <w:pPr>
        <w:spacing w:before="200" w:after="80"/>
      </w:pPr>
      <w:r>
        <w:rPr>
          <w:rFonts w:ascii="Calibri" w:hAnsi="Calibri"/>
          <w:b/>
          <w:color w:val="17365D"/>
          <w:sz w:val="23"/>
        </w:rPr>
        <w:t>2. 30-60-90 Day Strategic Onboarding Charter</w:t>
      </w:r>
    </w:p>
    <w:p>
      <w:pPr>
        <w:spacing w:before="120" w:after="40"/>
      </w:pPr>
      <w:r>
        <w:rPr>
          <w:rFonts w:ascii="Calibri" w:hAnsi="Calibri"/>
          <w:b/>
          <w:color w:val="28466E"/>
          <w:sz w:val="21"/>
        </w:rPr>
        <w:t>Days 1–30: Master BSI Assessment Procedures &amp; Notified Body Protocols</w:t>
      </w:r>
    </w:p>
    <w:p>
      <w:pPr>
        <w:pStyle w:val="ListBullet"/>
        <w:spacing w:before="0" w:after="40"/>
      </w:pPr>
      <w:r>
        <w:rPr>
          <w:rFonts w:ascii="Calibri" w:hAnsi="Calibri"/>
          <w:color w:val="28323C"/>
          <w:sz w:val="19"/>
        </w:rPr>
      </w:r>
      <w:r>
        <w:rPr>
          <w:rFonts w:ascii="Calibri" w:hAnsi="Calibri"/>
          <w:b/>
          <w:color w:val="28323C"/>
          <w:sz w:val="19"/>
        </w:rPr>
        <w:t>Internalize BSI AI SOPs:</w:t>
      </w:r>
      <w:r>
        <w:rPr>
          <w:rFonts w:ascii="Calibri" w:hAnsi="Calibri"/>
          <w:color w:val="28323C"/>
          <w:sz w:val="19"/>
        </w:rPr>
        <w:t xml:space="preserve"> Review BSI's accredited conformity assessment workflows, technical documentation review checklists, and CE-marking reporting templates.</w:t>
      </w:r>
    </w:p>
    <w:p>
      <w:pPr>
        <w:pStyle w:val="ListBullet"/>
        <w:spacing w:before="0" w:after="40"/>
      </w:pPr>
      <w:r>
        <w:rPr>
          <w:rFonts w:ascii="Calibri" w:hAnsi="Calibri"/>
          <w:color w:val="28323C"/>
          <w:sz w:val="19"/>
        </w:rPr>
      </w:r>
      <w:r>
        <w:rPr>
          <w:rFonts w:ascii="Calibri" w:hAnsi="Calibri"/>
          <w:b/>
          <w:color w:val="28323C"/>
          <w:sz w:val="19"/>
        </w:rPr>
        <w:t>Deep-Dive Regulatory Harmonization:</w:t>
      </w:r>
      <w:r>
        <w:rPr>
          <w:rFonts w:ascii="Calibri" w:hAnsi="Calibri"/>
          <w:color w:val="28323C"/>
          <w:sz w:val="19"/>
        </w:rPr>
        <w:t xml:space="preserve"> Map EU AI Act Article 9 (Risk Management System), Article 10 (Data and Data Governance), Article 11 (Technical Documentation), and Article 14 (Human Oversight) to BSI assessment tools.</w:t>
      </w:r>
    </w:p>
    <w:p>
      <w:pPr>
        <w:pStyle w:val="ListBullet"/>
        <w:spacing w:before="0" w:after="40"/>
      </w:pPr>
      <w:r>
        <w:rPr>
          <w:rFonts w:ascii="Calibri" w:hAnsi="Calibri"/>
          <w:color w:val="28323C"/>
          <w:sz w:val="19"/>
        </w:rPr>
      </w:r>
      <w:r>
        <w:rPr>
          <w:rFonts w:ascii="Calibri" w:hAnsi="Calibri"/>
          <w:b/>
          <w:color w:val="28323C"/>
          <w:sz w:val="19"/>
        </w:rPr>
        <w:t>Shadow Senior Assessors:</w:t>
      </w:r>
      <w:r>
        <w:rPr>
          <w:rFonts w:ascii="Calibri" w:hAnsi="Calibri"/>
          <w:color w:val="28323C"/>
          <w:sz w:val="19"/>
        </w:rPr>
        <w:t xml:space="preserve"> Shadow active conformity assessment reviews across medical device AI software and enterprise AI applications to observe interview and auditing techniques.</w:t>
      </w:r>
    </w:p>
    <w:p>
      <w:pPr>
        <w:pStyle w:val="ListBullet"/>
        <w:spacing w:before="0" w:after="40"/>
      </w:pPr>
      <w:r>
        <w:rPr>
          <w:rFonts w:ascii="Calibri" w:hAnsi="Calibri"/>
          <w:color w:val="28323C"/>
          <w:sz w:val="19"/>
        </w:rPr>
      </w:r>
      <w:r>
        <w:rPr>
          <w:rFonts w:ascii="Calibri" w:hAnsi="Calibri"/>
          <w:b/>
          <w:color w:val="28323C"/>
          <w:sz w:val="19"/>
        </w:rPr>
        <w:t>Introduce Harness Engineering Evaluation Framework:</w:t>
      </w:r>
      <w:r>
        <w:rPr>
          <w:rFonts w:ascii="Calibri" w:hAnsi="Calibri"/>
          <w:color w:val="28323C"/>
          <w:sz w:val="19"/>
        </w:rPr>
        <w:t xml:space="preserve"> Present the 4-layer harness architecture model (Identity/Behavior, Runtime, Feedback Loop, Governance/Security) and the 6-dimension evaluation scorecard (Correctness, Grounding, Latency p95, Cost, Safety, Auditability) as a candidate assessment methodology for agentic AI submissions.</w:t>
      </w:r>
    </w:p>
    <w:p>
      <w:pPr>
        <w:spacing w:before="120" w:after="40"/>
      </w:pPr>
      <w:r>
        <w:rPr>
          <w:rFonts w:ascii="Calibri" w:hAnsi="Calibri"/>
          <w:b/>
          <w:color w:val="28466E"/>
          <w:sz w:val="21"/>
        </w:rPr>
        <w:t>Days 31–60: Conduct Co-Assessments &amp; Interrogate Technical Dossiers</w:t>
      </w:r>
    </w:p>
    <w:p>
      <w:pPr>
        <w:pStyle w:val="ListBullet"/>
        <w:spacing w:before="0" w:after="40"/>
      </w:pPr>
      <w:r>
        <w:rPr>
          <w:rFonts w:ascii="Calibri" w:hAnsi="Calibri"/>
          <w:color w:val="28323C"/>
          <w:sz w:val="19"/>
        </w:rPr>
      </w:r>
      <w:r>
        <w:rPr>
          <w:rFonts w:ascii="Calibri" w:hAnsi="Calibri"/>
          <w:b/>
          <w:color w:val="28323C"/>
          <w:sz w:val="19"/>
        </w:rPr>
        <w:t>Lead Technical Documentation Reviews:</w:t>
      </w:r>
      <w:r>
        <w:rPr>
          <w:rFonts w:ascii="Calibri" w:hAnsi="Calibri"/>
          <w:color w:val="28323C"/>
          <w:sz w:val="19"/>
        </w:rPr>
        <w:t xml:space="preserve"> Under mentor supervision, independently review manufacturers' technical files, verifying algorithmic choices, validation metrics (ROC-AUC, F1, calibration curves), test data segregation, and now — structured output safety (3-tier validation) and agent termination condition compliance.</w:t>
      </w:r>
    </w:p>
    <w:p>
      <w:pPr>
        <w:pStyle w:val="ListBullet"/>
        <w:spacing w:before="0" w:after="40"/>
      </w:pPr>
      <w:r>
        <w:rPr>
          <w:rFonts w:ascii="Calibri" w:hAnsi="Calibri"/>
          <w:color w:val="28323C"/>
          <w:sz w:val="19"/>
        </w:rPr>
      </w:r>
      <w:r>
        <w:rPr>
          <w:rFonts w:ascii="Calibri" w:hAnsi="Calibri"/>
          <w:b/>
          <w:color w:val="28323C"/>
          <w:sz w:val="19"/>
        </w:rPr>
        <w:t>Participate in Client Conformity Meetings:</w:t>
      </w:r>
      <w:r>
        <w:rPr>
          <w:rFonts w:ascii="Calibri" w:hAnsi="Calibri"/>
          <w:color w:val="28323C"/>
          <w:sz w:val="19"/>
        </w:rPr>
        <w:t xml:space="preserve"> Attend technical discovery sessions with manufacturers, formulating targeted questions regarding data preprocessing, validation splits, model drift mitigation, and harness-level deterministic policy enforcement.</w:t>
      </w:r>
    </w:p>
    <w:p>
      <w:pPr>
        <w:pStyle w:val="ListBullet"/>
        <w:spacing w:before="0" w:after="40"/>
      </w:pPr>
      <w:r>
        <w:rPr>
          <w:rFonts w:ascii="Calibri" w:hAnsi="Calibri"/>
          <w:color w:val="28323C"/>
          <w:sz w:val="19"/>
        </w:rPr>
      </w:r>
      <w:r>
        <w:rPr>
          <w:rFonts w:ascii="Calibri" w:hAnsi="Calibri"/>
          <w:b/>
          <w:color w:val="28323C"/>
          <w:sz w:val="19"/>
        </w:rPr>
        <w:t>Draft Formal Technical Assessment Reports:</w:t>
      </w:r>
      <w:r>
        <w:rPr>
          <w:rFonts w:ascii="Calibri" w:hAnsi="Calibri"/>
          <w:color w:val="28323C"/>
          <w:sz w:val="19"/>
        </w:rPr>
        <w:t xml:space="preserve"> Author clear, defensible review reports detailing compliance findings, observations, and structured requests for additional information (RFIs).</w:t>
      </w:r>
    </w:p>
    <w:p>
      <w:pPr>
        <w:pStyle w:val="ListBullet"/>
        <w:spacing w:before="0" w:after="40"/>
      </w:pPr>
      <w:r>
        <w:rPr>
          <w:rFonts w:ascii="Calibri" w:hAnsi="Calibri"/>
          <w:color w:val="28323C"/>
          <w:sz w:val="19"/>
        </w:rPr>
      </w:r>
      <w:r>
        <w:rPr>
          <w:rFonts w:ascii="Calibri" w:hAnsi="Calibri"/>
          <w:b/>
          <w:color w:val="28323C"/>
          <w:sz w:val="19"/>
        </w:rPr>
        <w:t>Contribute to Internal Tooling:</w:t>
      </w:r>
      <w:r>
        <w:rPr>
          <w:rFonts w:ascii="Calibri" w:hAnsi="Calibri"/>
          <w:color w:val="28323C"/>
          <w:sz w:val="19"/>
        </w:rPr>
        <w:t xml:space="preserve"> Collaborate on developing or validating internal AI testing tools, potentially introducing trajectory observability instrumentation (OpenTelemetry, Langfuse) for evaluating agent-based submissions.</w:t>
      </w:r>
    </w:p>
    <w:p>
      <w:pPr>
        <w:spacing w:before="120" w:after="40"/>
      </w:pPr>
      <w:r>
        <w:rPr>
          <w:rFonts w:ascii="Calibri" w:hAnsi="Calibri"/>
          <w:b/>
          <w:color w:val="28466E"/>
          <w:sz w:val="21"/>
        </w:rPr>
        <w:t>Days 61–90: Full Assessment Ownership &amp; Team Mentorship</w:t>
      </w:r>
    </w:p>
    <w:p>
      <w:pPr>
        <w:pStyle w:val="ListBullet"/>
        <w:spacing w:before="0" w:after="40"/>
      </w:pPr>
      <w:r>
        <w:rPr>
          <w:rFonts w:ascii="Calibri" w:hAnsi="Calibri"/>
          <w:color w:val="28323C"/>
          <w:sz w:val="19"/>
        </w:rPr>
      </w:r>
      <w:r>
        <w:rPr>
          <w:rFonts w:ascii="Calibri" w:hAnsi="Calibri"/>
          <w:b/>
          <w:color w:val="28323C"/>
          <w:sz w:val="19"/>
        </w:rPr>
        <w:t>Independent Conformity Assessment Sign-Off:</w:t>
      </w:r>
      <w:r>
        <w:rPr>
          <w:rFonts w:ascii="Calibri" w:hAnsi="Calibri"/>
          <w:color w:val="28323C"/>
          <w:sz w:val="19"/>
        </w:rPr>
        <w:t xml:space="preserve"> Execute end-to-end technical documentation reviews for assigned AI systems, issuing formal assessment recommendations for CE marking.</w:t>
      </w:r>
    </w:p>
    <w:p>
      <w:pPr>
        <w:pStyle w:val="ListBullet"/>
        <w:spacing w:before="0" w:after="40"/>
      </w:pPr>
      <w:r>
        <w:rPr>
          <w:rFonts w:ascii="Calibri" w:hAnsi="Calibri"/>
          <w:color w:val="28323C"/>
          <w:sz w:val="19"/>
        </w:rPr>
      </w:r>
      <w:r>
        <w:rPr>
          <w:rFonts w:ascii="Calibri" w:hAnsi="Calibri"/>
          <w:b/>
          <w:color w:val="28323C"/>
          <w:sz w:val="19"/>
        </w:rPr>
        <w:t>Develop Specialized Assessment Guidance:</w:t>
      </w:r>
      <w:r>
        <w:rPr>
          <w:rFonts w:ascii="Calibri" w:hAnsi="Calibri"/>
          <w:color w:val="28323C"/>
          <w:sz w:val="19"/>
        </w:rPr>
        <w:t xml:space="preserve"> Author technical guidance or training modules for BSI colleagues on evaluating modern generative AI, LLM fine-tuning, multimodal model risks, and agentic system harness architectures.</w:t>
      </w:r>
    </w:p>
    <w:p>
      <w:pPr>
        <w:pStyle w:val="ListBullet"/>
        <w:spacing w:before="0" w:after="40"/>
      </w:pPr>
      <w:r>
        <w:rPr>
          <w:rFonts w:ascii="Calibri" w:hAnsi="Calibri"/>
          <w:color w:val="28323C"/>
          <w:sz w:val="19"/>
        </w:rPr>
      </w:r>
      <w:r>
        <w:rPr>
          <w:rFonts w:ascii="Calibri" w:hAnsi="Calibri"/>
          <w:b/>
          <w:color w:val="28323C"/>
          <w:sz w:val="19"/>
        </w:rPr>
        <w:t>Drive Continuous Improvement:</w:t>
      </w:r>
      <w:r>
        <w:rPr>
          <w:rFonts w:ascii="Calibri" w:hAnsi="Calibri"/>
          <w:color w:val="28323C"/>
          <w:sz w:val="19"/>
        </w:rPr>
        <w:t xml:space="preserve"> Identify optimization opportunities in BSI's technical review workflows, reducing review cycle times while maintaining uncompromised auditing rigor.</w:t>
      </w:r>
    </w:p>
    <w:p>
      <w:pPr>
        <w:spacing w:before="200" w:after="80"/>
      </w:pPr>
      <w:r>
        <w:rPr>
          <w:rFonts w:ascii="Calibri" w:hAnsi="Calibri"/>
          <w:b/>
          <w:color w:val="17365D"/>
          <w:sz w:val="23"/>
        </w:rPr>
        <w:t>3. High-Probability Technical &amp; Behavioral Scenarios (STAR Format)</w:t>
      </w:r>
    </w:p>
    <w:p>
      <w:pPr>
        <w:spacing w:before="120" w:after="40"/>
      </w:pPr>
      <w:r>
        <w:rPr>
          <w:rFonts w:ascii="Calibri" w:hAnsi="Calibri"/>
          <w:b/>
          <w:color w:val="28466E"/>
          <w:sz w:val="21"/>
        </w:rPr>
        <w:t>Scenario 1: Evaluating Technical Documentation for Model Robustness and Data Governance</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A manufacturer submits an AI diagnostic model claiming 98% accuracy. As an AI Technical Specialist, you must evaluate the validity of their technical file under conformity assessment requirements.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my AI evaluation work and academic projects (UC Berkeley ML with Spark and Stanford TECH 77), I have frequently encountered models that perform exceptionally well in laboratory benchmarks but fail under real-world data shifts.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Establish an evidence-based audit protocol to verify whether a model's reported accuracy reflects genuine generalization or subtle data leakage.</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scrutinize the training, validation, and test dataset splits to verify strict temporal or patient/subject isolation, ensuring zero feature contamination. I inspect the data provenance, labeling protocols, and demographic stratification. I require the manufacturer to provide confusion matrices, subgroup performance metrics, calibration curves, and error surface analysis under noise and adversarial perturbations. I also check for benchmark contamination — whether the test set has been inadvertently seen during training — using techniques like SWE-smith programmatic task mutation to generate held-out evaluation variants.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Successfully detects hidden overfitting, dataset bias, and benchmark contamination before certification, protecting end users and upholding the integrity of the CE mark.</w:t>
      </w:r>
    </w:p>
    <w:p>
      <w:pPr>
        <w:spacing w:before="120" w:after="40"/>
      </w:pPr>
      <w:r>
        <w:rPr>
          <w:rFonts w:ascii="Calibri" w:hAnsi="Calibri"/>
          <w:b/>
          <w:color w:val="28466E"/>
          <w:sz w:val="21"/>
        </w:rPr>
        <w:t>Scenario 2: Interrogating Distributed ML Pipelines (UC Berkeley ML with Spark)</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An enterprise submits an AI system leveraging large-scale distributed data processing and neural networks. BSI requires deep technical fluency in distributed ML architectures.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During my UC Berkeley coursework (COMPSCI X433.7 - Grade A), I developed distributed ML pipelines using PySpark and Spark MLlib, evaluating how parallelized training and distributed feature extraction impact model convergence.</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Assess whether a distributed ML pipeline maintains numerical stability, reproducibility, and deterministic data handling during scale-out training.</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inspect the data partitioning strategies, feature transformation pipelines, and gradient aggregation mechanisms. I verify that random seeds are fixed and that distributed join operations do not introduce non-deterministic ordering or duplicate records. I review hyperparameter optimization logs (grid search / Bayesian optimization) to verify that cross-validation was performed correctly across Spark worker nodes without test-set leakage.</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Demonstrates deep peer-level engineering credibility, validating that complex distributed ML systems satisfy conformity assessment standards for reproducibility and auditability.</w:t>
      </w:r>
    </w:p>
    <w:p>
      <w:pPr>
        <w:spacing w:before="120" w:after="40"/>
      </w:pPr>
      <w:r>
        <w:rPr>
          <w:rFonts w:ascii="Calibri" w:hAnsi="Calibri"/>
          <w:b/>
          <w:color w:val="28466E"/>
          <w:sz w:val="21"/>
        </w:rPr>
        <w:t>Scenario 3: Auditing LLM &amp; Multimodal Systems for Hallucination and Prompt Injection (Stanford TECH 77)</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BSI is assessing generative AI and multimodal applications where stochastic behavior poses regulatory risks under EU AI Act transparency and risk management mandates.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my Stanford TECH 77 project, I built and evaluated an auditable document intelligence pipeline benchmarking Vision Language Models and Document Transformers against OCR baselines.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verification criteria to ensure generative models operating in regulated domains do not hallucinate critical outputs or fall prey to prompt injection attacks.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evaluated failure modes where VLMs hallucinated tokens on complex table structures. To mitigate this, I implemented LangGraph StateGraph deterministic routing, strict Pydantic JSON schema enforcement, and confidence-score anomaly gating that triggered human-in-the-loop review. I also introduced adversarial input filters to catch indirect prompt injection. These techniques directly inform how I would evaluate a manufacturer's submission for hallucination robustness.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Establishes a rigorous, replicable assessment methodology that BSI can standardize for evaluating generative AI submissions under EU AI Act Article 15 (Accuracy, Robustness, and Cybersecurity).</w:t>
      </w:r>
    </w:p>
    <w:p>
      <w:pPr>
        <w:spacing w:before="120" w:after="40"/>
      </w:pPr>
      <w:r>
        <w:rPr>
          <w:rFonts w:ascii="Calibri" w:hAnsi="Calibri"/>
          <w:b/>
          <w:color w:val="28466E"/>
          <w:sz w:val="21"/>
        </w:rPr>
        <w:t>Scenario 4: Evaluating Agentic AI Systems — Harness Architecture &amp; Trajectory Auditability (Packt/Koenigstein)</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A manufacturer submits an autonomous AI agent system for conformity assessment — an increasingly common scenario as agentic AI enters regulated verticals including medical devices, financial systems, and critical infrastructure.</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the Packt Agentic AI for Finance intensive under Nicole Koenigstein, I architected a governed multi-agent Trading Copilot with hierarchical supervisor topology, bounded execution budgets, and full trajectory observability.</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 conformity assessment protocol for evaluating autonomous agent systems that goes beyond static model evaluation to assess the entire runtime harness, loop governance, and execution security.</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assess the agent against the 4-layer harness architecture:</w:t>
      </w:r>
    </w:p>
    <w:p>
      <w:pPr>
        <w:spacing w:before="0" w:after="80"/>
      </w:pPr>
      <w:r>
        <w:rPr>
          <w:rFonts w:ascii="Calibri" w:hAnsi="Calibri"/>
          <w:color w:val="28323C"/>
          <w:sz w:val="19"/>
        </w:rPr>
        <w:t xml:space="preserve">  - </w:t>
      </w:r>
      <w:r>
        <w:rPr>
          <w:rFonts w:ascii="Calibri" w:hAnsi="Calibri"/>
          <w:b/>
          <w:color w:val="28323C"/>
          <w:sz w:val="19"/>
        </w:rPr>
        <w:t>Layer 1 (Identity &amp; Behavior):</w:t>
      </w:r>
      <w:r>
        <w:rPr>
          <w:rFonts w:ascii="Calibri" w:hAnsi="Calibri"/>
          <w:color w:val="28323C"/>
          <w:sz w:val="19"/>
        </w:rPr>
        <w:t xml:space="preserve"> Are agent roles, permissions, and behavioral boundaries clearly defined and documented?</w:t>
      </w:r>
    </w:p>
    <w:p>
      <w:pPr>
        <w:spacing w:before="0" w:after="80"/>
      </w:pPr>
      <w:r>
        <w:rPr>
          <w:rFonts w:ascii="Calibri" w:hAnsi="Calibri"/>
          <w:color w:val="28323C"/>
          <w:sz w:val="19"/>
        </w:rPr>
        <w:t xml:space="preserve">  - </w:t>
      </w:r>
      <w:r>
        <w:rPr>
          <w:rFonts w:ascii="Calibri" w:hAnsi="Calibri"/>
          <w:b/>
          <w:color w:val="28323C"/>
          <w:sz w:val="19"/>
        </w:rPr>
        <w:t>Layer 2 (Runtime):</w:t>
      </w:r>
      <w:r>
        <w:rPr>
          <w:rFonts w:ascii="Calibri" w:hAnsi="Calibri"/>
          <w:color w:val="28323C"/>
          <w:sz w:val="19"/>
        </w:rPr>
        <w:t xml:space="preserve"> Is the execution sandboxed (Docker, E2B, WASM)? Are tool contracts schema-governed with strict typed validation?</w:t>
      </w:r>
    </w:p>
    <w:p>
      <w:pPr>
        <w:spacing w:before="0" w:after="80"/>
      </w:pPr>
      <w:r>
        <w:rPr>
          <w:rFonts w:ascii="Calibri" w:hAnsi="Calibri"/>
          <w:color w:val="28323C"/>
          <w:sz w:val="19"/>
        </w:rPr>
        <w:t xml:space="preserve">  - </w:t>
      </w:r>
      <w:r>
        <w:rPr>
          <w:rFonts w:ascii="Calibri" w:hAnsi="Calibri"/>
          <w:b/>
          <w:color w:val="28323C"/>
          <w:sz w:val="19"/>
        </w:rPr>
        <w:t>Layer 3 (Feedback Loop):</w:t>
      </w:r>
      <w:r>
        <w:rPr>
          <w:rFonts w:ascii="Calibri" w:hAnsi="Calibri"/>
          <w:color w:val="28323C"/>
          <w:sz w:val="19"/>
        </w:rPr>
        <w:t xml:space="preserve"> Are there mandatory termination conditions (success, budget, no-progress oscillation guard, hard stop)? Does the system distinguish between reflection (style improvement) and verification (ground-truth validation)?</w:t>
      </w:r>
    </w:p>
    <w:p>
      <w:pPr>
        <w:spacing w:before="0" w:after="80"/>
      </w:pPr>
      <w:r>
        <w:rPr>
          <w:rFonts w:ascii="Calibri" w:hAnsi="Calibri"/>
          <w:color w:val="28323C"/>
          <w:sz w:val="19"/>
        </w:rPr>
        <w:t xml:space="preserve">  - </w:t>
      </w:r>
      <w:r>
        <w:rPr>
          <w:rFonts w:ascii="Calibri" w:hAnsi="Calibri"/>
          <w:b/>
          <w:color w:val="28323C"/>
          <w:sz w:val="19"/>
        </w:rPr>
        <w:t>Layer 4 (Governance &amp; Security):</w:t>
      </w:r>
      <w:r>
        <w:rPr>
          <w:rFonts w:ascii="Calibri" w:hAnsi="Calibri"/>
          <w:color w:val="28323C"/>
          <w:sz w:val="19"/>
        </w:rPr>
        <w:t xml:space="preserve"> Does the system mitigate OWASP Top 15 Agent Vulnerabilities? Is there a 3-tier structured output validation pipeline? Are trajectory logs immutable and auditable via OpenTelemetry?</w:t>
      </w:r>
    </w:p>
    <w:p>
      <w:pPr>
        <w:spacing w:before="0" w:after="80"/>
      </w:pPr>
      <w:r>
        <w:rPr>
          <w:rFonts w:ascii="Calibri" w:hAnsi="Calibri"/>
          <w:color w:val="28323C"/>
          <w:sz w:val="19"/>
        </w:rPr>
        <w:t xml:space="preserve">  I evaluate the 6-dimension scorecard: Correctness, Grounding, Latency p95, Cost, Safety, and Auditability, and verify that Grounding, Safety, and Auditability are treated as zero-tolerance blocking gates for release.</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Provides BSI with an expert who can pioneer assessment frameworks for the rapidly growing category of agentic AI systems — a competitive differentiator for BSI's Notified Body services.</w:t>
      </w:r>
    </w:p>
    <w:p>
      <w:pPr>
        <w:spacing w:before="120" w:after="40"/>
      </w:pPr>
      <w:r>
        <w:rPr>
          <w:rFonts w:ascii="Calibri" w:hAnsi="Calibri"/>
          <w:b/>
          <w:color w:val="28466E"/>
          <w:sz w:val="21"/>
        </w:rPr>
        <w:t>Scenario 5: Assessing AI System Security &amp; OWASP Agent Vulnerabilities (Packt/Koenigstein)</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A manufacturer submits an AI-enabled IoT medical device that uses an LLM agent to interpret sensor data, generate clinical recommendations, and communicate with hospital EHR systems. BSI must evaluate the system's security posture.</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the Packt intensive, I studied the OWASP Top 15 Agent Vulnerabilities taxonomy and implemented defense strategies for Confused Deputy attacks, Memory Poisoning, Tool Misuse, and Unexpected Remote Code Execution.</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Conduct a comprehensive security threat assessment of the agent-based medical device against both the EU AI Act cybersecurity requirements (Article 15) and the OWASP agent vulnerability framework.</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map each OWASP vulnerability to the manufacturer's architecture:</w:t>
      </w:r>
    </w:p>
    <w:p>
      <w:pPr>
        <w:spacing w:before="0" w:after="80"/>
      </w:pPr>
      <w:r>
        <w:rPr>
          <w:rFonts w:ascii="Calibri" w:hAnsi="Calibri"/>
          <w:color w:val="28323C"/>
          <w:sz w:val="19"/>
        </w:rPr>
        <w:t xml:space="preserve">  - </w:t>
      </w:r>
      <w:r>
        <w:rPr>
          <w:rFonts w:ascii="Calibri" w:hAnsi="Calibri"/>
          <w:b/>
          <w:color w:val="28323C"/>
          <w:sz w:val="19"/>
        </w:rPr>
        <w:t>Confused Deputy (T3):</w:t>
      </w:r>
      <w:r>
        <w:rPr>
          <w:rFonts w:ascii="Calibri" w:hAnsi="Calibri"/>
          <w:color w:val="28323C"/>
          <w:sz w:val="19"/>
        </w:rPr>
        <w:t xml:space="preserve"> Does the agent use the Principle of Least Privilege? Can external inputs manipulate the agent into executing unauthorized actions?</w:t>
      </w:r>
    </w:p>
    <w:p>
      <w:pPr>
        <w:spacing w:before="0" w:after="80"/>
      </w:pPr>
      <w:r>
        <w:rPr>
          <w:rFonts w:ascii="Calibri" w:hAnsi="Calibri"/>
          <w:color w:val="28323C"/>
          <w:sz w:val="19"/>
        </w:rPr>
        <w:t xml:space="preserve">  - </w:t>
      </w:r>
      <w:r>
        <w:rPr>
          <w:rFonts w:ascii="Calibri" w:hAnsi="Calibri"/>
          <w:b/>
          <w:color w:val="28323C"/>
          <w:sz w:val="19"/>
        </w:rPr>
        <w:t>Memory Poisoning (T1):</w:t>
      </w:r>
      <w:r>
        <w:rPr>
          <w:rFonts w:ascii="Calibri" w:hAnsi="Calibri"/>
          <w:color w:val="28323C"/>
          <w:sz w:val="19"/>
        </w:rPr>
        <w:t xml:space="preserve"> Are long-term memory stores and vector databases protected against adversarial injection? Is there provenance tracking on ingested embeddings?</w:t>
      </w:r>
    </w:p>
    <w:p>
      <w:pPr>
        <w:spacing w:before="0" w:after="80"/>
      </w:pPr>
      <w:r>
        <w:rPr>
          <w:rFonts w:ascii="Calibri" w:hAnsi="Calibri"/>
          <w:color w:val="28323C"/>
          <w:sz w:val="19"/>
        </w:rPr>
        <w:t xml:space="preserve">  - </w:t>
      </w:r>
      <w:r>
        <w:rPr>
          <w:rFonts w:ascii="Calibri" w:hAnsi="Calibri"/>
          <w:b/>
          <w:color w:val="28323C"/>
          <w:sz w:val="19"/>
        </w:rPr>
        <w:t>Unexpected RCE (T11):</w:t>
      </w:r>
      <w:r>
        <w:rPr>
          <w:rFonts w:ascii="Calibri" w:hAnsi="Calibri"/>
          <w:color w:val="28323C"/>
          <w:sz w:val="19"/>
        </w:rPr>
        <w:t xml:space="preserve"> Is code execution sandboxed with network isolation, dropped capabilities, and read-only root filesystems?</w:t>
      </w:r>
    </w:p>
    <w:p>
      <w:pPr>
        <w:spacing w:before="0" w:after="80"/>
      </w:pPr>
      <w:r>
        <w:rPr>
          <w:rFonts w:ascii="Calibri" w:hAnsi="Calibri"/>
          <w:color w:val="28323C"/>
          <w:sz w:val="19"/>
        </w:rPr>
        <w:t xml:space="preserve">  - </w:t>
      </w:r>
      <w:r>
        <w:rPr>
          <w:rFonts w:ascii="Calibri" w:hAnsi="Calibri"/>
          <w:b/>
          <w:color w:val="28323C"/>
          <w:sz w:val="19"/>
        </w:rPr>
        <w:t>Cascading Hallucination (T5):</w:t>
      </w:r>
      <w:r>
        <w:rPr>
          <w:rFonts w:ascii="Calibri" w:hAnsi="Calibri"/>
          <w:color w:val="28323C"/>
          <w:sz w:val="19"/>
        </w:rPr>
        <w:t xml:space="preserve"> Can a hallucinated output from one agent propagate unchecked through downstream agents?</w:t>
      </w:r>
    </w:p>
    <w:p>
      <w:pPr>
        <w:spacing w:before="0" w:after="80"/>
      </w:pPr>
      <w:r>
        <w:rPr>
          <w:rFonts w:ascii="Calibri" w:hAnsi="Calibri"/>
          <w:color w:val="28323C"/>
          <w:sz w:val="19"/>
        </w:rPr>
        <w:t xml:space="preserve">  I verify whether the manufacturer implements a Zero-Trust architecture isolating the user interface from the agent runtime, and whether path traversal protections prevent directory escape.</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Delivers a rigorous, threat-model-driven security assessment that exceeds standard regulatory checklists, establishing BSI as a leader in evaluating the unique security posture of agentic AI systems.</w:t>
      </w:r>
    </w:p>
    <w:p>
      <w:pPr>
        <w:spacing w:before="120" w:after="40"/>
      </w:pPr>
      <w:r>
        <w:rPr>
          <w:rFonts w:ascii="Calibri" w:hAnsi="Calibri"/>
          <w:b/>
          <w:color w:val="28466E"/>
          <w:sz w:val="21"/>
        </w:rPr>
        <w:t>Scenario 6: Evaluating Structured Output Safety — 3-Tier Validation Pipeline (Packt/Koenigstein)</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A manufacturer submits a clinical decision support LLM that generates structured treatment recommendations in JSON format for integration with hospital formulary systems.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my Packt training, I learned and implemented the 3-tier fallback validation pipeline for ensuring structured output integrity in production AI systems.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Assess whether the manufacturer's structured output generation is robust enough that malformed, hallucinated, or schema-violating outputs cannot reach the downstream clinical system.</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evaluate the system against the 3-tier hierarchy:</w:t>
      </w:r>
    </w:p>
    <w:p>
      <w:pPr>
        <w:spacing w:before="0" w:after="80"/>
      </w:pPr>
      <w:r>
        <w:rPr>
          <w:rFonts w:ascii="Calibri" w:hAnsi="Calibri"/>
          <w:color w:val="28323C"/>
          <w:sz w:val="19"/>
        </w:rPr>
        <w:t xml:space="preserve">  - </w:t>
      </w:r>
      <w:r>
        <w:rPr>
          <w:rFonts w:ascii="Calibri" w:hAnsi="Calibri"/>
          <w:b/>
          <w:color w:val="28323C"/>
          <w:sz w:val="19"/>
        </w:rPr>
        <w:t>Tier 1 (Strict JSON Schema Mode):</w:t>
      </w:r>
      <w:r>
        <w:rPr>
          <w:rFonts w:ascii="Calibri" w:hAnsi="Calibri"/>
          <w:color w:val="28323C"/>
          <w:sz w:val="19"/>
        </w:rPr>
        <w:t xml:space="preserve"> Does the system use provider-level constrained decoding to force model logits to conform to a defined JSON grammar?</w:t>
      </w:r>
    </w:p>
    <w:p>
      <w:pPr>
        <w:spacing w:before="0" w:after="80"/>
      </w:pPr>
      <w:r>
        <w:rPr>
          <w:rFonts w:ascii="Calibri" w:hAnsi="Calibri"/>
          <w:color w:val="28323C"/>
          <w:sz w:val="19"/>
        </w:rPr>
        <w:t xml:space="preserve">  - </w:t>
      </w:r>
      <w:r>
        <w:rPr>
          <w:rFonts w:ascii="Calibri" w:hAnsi="Calibri"/>
          <w:b/>
          <w:color w:val="28323C"/>
          <w:sz w:val="19"/>
        </w:rPr>
        <w:t>Tier 2 (Instructor + Pydantic Retries):</w:t>
      </w:r>
      <w:r>
        <w:rPr>
          <w:rFonts w:ascii="Calibri" w:hAnsi="Calibri"/>
          <w:color w:val="28323C"/>
          <w:sz w:val="19"/>
        </w:rPr>
        <w:t xml:space="preserve"> If Tier 1 fails, does a self-healing validation loop with typed Pydantic validators and retry logic catch and correct malformed outputs?</w:t>
      </w:r>
    </w:p>
    <w:p>
      <w:pPr>
        <w:spacing w:before="0" w:after="80"/>
      </w:pPr>
      <w:r>
        <w:rPr>
          <w:rFonts w:ascii="Calibri" w:hAnsi="Calibri"/>
          <w:color w:val="28323C"/>
          <w:sz w:val="19"/>
        </w:rPr>
        <w:t xml:space="preserve">  - </w:t>
      </w:r>
      <w:r>
        <w:rPr>
          <w:rFonts w:ascii="Calibri" w:hAnsi="Calibri"/>
          <w:b/>
          <w:color w:val="28323C"/>
          <w:sz w:val="19"/>
        </w:rPr>
        <w:t>Tier 3 (Deterministic Canonicalization):</w:t>
      </w:r>
      <w:r>
        <w:rPr>
          <w:rFonts w:ascii="Calibri" w:hAnsi="Calibri"/>
          <w:color w:val="28323C"/>
          <w:sz w:val="19"/>
        </w:rPr>
        <w:t xml:space="preserve"> If Tier 2 fails, does a final regex/AST-based heuristic repair attempt to salvage the output before triggering a hard failure and human escalation?</w:t>
      </w:r>
    </w:p>
    <w:p>
      <w:pPr>
        <w:spacing w:before="0" w:after="80"/>
      </w:pPr>
      <w:r>
        <w:rPr>
          <w:rFonts w:ascii="Calibri" w:hAnsi="Calibri"/>
          <w:color w:val="28323C"/>
          <w:sz w:val="19"/>
        </w:rPr>
        <w:t xml:space="preserve">  I verify that a complete failure of all three tiers triggers the 3-rung escalation ladder (retry in place, re-plan, state-preserving human gate) rather than passing corrupt data downstream.</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Provides BSI with a structured, replicable assessment methodology for evaluating the output safety of generative AI systems — a critical gap in current conformity assessment procedures.</w:t>
      </w:r>
    </w:p>
    <w:p>
      <w:pPr>
        <w:spacing w:before="200" w:after="80"/>
      </w:pPr>
      <w:r>
        <w:rPr>
          <w:rFonts w:ascii="Calibri" w:hAnsi="Calibri"/>
          <w:b/>
          <w:color w:val="17365D"/>
          <w:sz w:val="23"/>
        </w:rPr>
        <w:t>4. Technical Deep-Dive Questions &amp; Prepared Responses</w:t>
      </w:r>
    </w:p>
    <w:p>
      <w:pPr>
        <w:spacing w:before="120" w:after="40"/>
      </w:pPr>
      <w:r>
        <w:rPr>
          <w:rFonts w:ascii="Calibri" w:hAnsi="Calibri"/>
          <w:b/>
          <w:color w:val="28466E"/>
          <w:sz w:val="21"/>
        </w:rPr>
        <w:t>Q: "What is harness engineering and why does it matter for conformity assessment?"</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Harness engineering is the discipline of building the runtime architecture that surrounds a foundation model — the state machine, verification gates, execution sandboxes, and governance layers. The core thesis is: "Model proposes, Harness disposes." In a conformity assessment context, this means that evaluating only the model (accuracy, bias, drift) is insufficient. We must also evaluate the harness: Are permissions enforced in code rather than prompts? Are execution budgets bounded? Are termination conditions deterministic? Is the trajectory auditable? For BSI, this provides a structured methodology to assess the full AI system, not just the model component.</w:t>
      </w:r>
    </w:p>
    <w:p>
      <w:pPr>
        <w:spacing w:before="120" w:after="40"/>
      </w:pPr>
      <w:r>
        <w:rPr>
          <w:rFonts w:ascii="Calibri" w:hAnsi="Calibri"/>
          <w:b/>
          <w:color w:val="28466E"/>
          <w:sz w:val="21"/>
        </w:rPr>
        <w:t>Q: "How would you evaluate an AI system that uses multiple agents working together?"</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Multi-agent systems introduce coordination tax — the aggregate overhead in latency, token consumption, and reliability decay. If each agent has success probability $p$, a sequential pipeline of $n$ agents has aggregate reliability $p^n$. I would evaluate: (1) the coordination topology (hierarchical, peer-to-peer, blackboard, or swarm) and whether it's appropriate for the use case, (2) whether deterministic consolidation checkpoints exist between agent handoffs, (3) whether the system has termination conditions for infinite loops and oscillating debates, and (4) whether the trajectory of each agent's actions is independently auditable.</w:t>
      </w:r>
    </w:p>
    <w:p>
      <w:pPr>
        <w:spacing w:before="120" w:after="40"/>
      </w:pPr>
      <w:r>
        <w:rPr>
          <w:rFonts w:ascii="Calibri" w:hAnsi="Calibri"/>
          <w:b/>
          <w:color w:val="28466E"/>
          <w:sz w:val="21"/>
        </w:rPr>
        <w:t>Q: "How do you distinguish between a model failure and a harness failure?"</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In production, over 85% of agent failures are harness failures, not model failures. A model failure is when the foundation model generates incorrect, biased, or hallucinated content despite receiving correct context and instructions. A harness failure is when the system surrounding the model fails — wrong context was provided, verification was skipped, the sandbox allowed unauthorized tool execution, or the escalation ladder did not trigger on a no-progress condition. For conformity assessment, this distinction is critical because a manufacturer who blames poor outcomes on the model may actually have a deficient harness that no model upgrade will fix.</w:t>
      </w:r>
    </w:p>
    <w:p>
      <w:pPr>
        <w:spacing w:before="120" w:after="40"/>
      </w:pPr>
      <w:r>
        <w:rPr>
          <w:rFonts w:ascii="Calibri" w:hAnsi="Calibri"/>
          <w:b/>
          <w:color w:val="28466E"/>
          <w:sz w:val="21"/>
        </w:rPr>
        <w:t>Q: "Explain how you would assess the observability of an AI agent system."</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I apply the 6-dimension evaluation scorecard: Correctness (factual accuracy of outputs), Grounding (ratio of assertions supported by retrieved citations), Latency p95 (95th percentile response time), Cost (token and compute expenditure), Safety (resistance to jailbreaks, prompt injections, and unauthorized actions), and Auditability (complete reproducible trace of all model calls, tool inputs, and state transitions). For conformity assessment, Grounding, Safety, and Auditability must be treated as zero-tolerance blocking gates, while Latency and Cost are budget-managed. I would verify the manufacturer instruments with open standards like OpenTelemetry GenAI semantic conventions and maintains immutable trajectory logs.</w:t>
      </w:r>
    </w:p>
    <w:p>
      <w:pPr>
        <w:spacing w:before="200" w:after="80"/>
      </w:pPr>
      <w:r>
        <w:rPr>
          <w:rFonts w:ascii="Calibri" w:hAnsi="Calibri"/>
          <w:b/>
          <w:color w:val="17365D"/>
          <w:sz w:val="23"/>
        </w:rPr>
        <w:t>5. Questions to Ask the BSI Interview Panel</w:t>
      </w:r>
    </w:p>
    <w:p>
      <w:pPr>
        <w:spacing w:before="0" w:after="80"/>
      </w:pPr>
      <w:r>
        <w:rPr>
          <w:rFonts w:ascii="Calibri" w:hAnsi="Calibri"/>
          <w:color w:val="28323C"/>
          <w:sz w:val="19"/>
        </w:rPr>
        <w:t>1. "How is BSI positioning its AI conformity assessment capabilities relative to the growing category of agentic AI and multi-agent systems, versus traditional single-model evaluations?"</w:t>
      </w:r>
    </w:p>
    <w:p>
      <w:pPr>
        <w:spacing w:before="0" w:after="80"/>
      </w:pPr>
      <w:r>
        <w:rPr>
          <w:rFonts w:ascii="Calibri" w:hAnsi="Calibri"/>
          <w:color w:val="28323C"/>
          <w:sz w:val="19"/>
        </w:rPr>
        <w:t>2. "What is the current mix of industry verticals (medical devices, biometrics, financial systems, robotics) in BSI's AI assessment pipeline, and which verticals are growing fastest?"</w:t>
      </w:r>
    </w:p>
    <w:p>
      <w:pPr>
        <w:spacing w:before="0" w:after="80"/>
      </w:pPr>
      <w:r>
        <w:rPr>
          <w:rFonts w:ascii="Calibri" w:hAnsi="Calibri"/>
          <w:color w:val="28323C"/>
          <w:sz w:val="19"/>
        </w:rPr>
        <w:t>3. "How does BSI's internal assessment tooling currently handle trajectory-level evaluation of AI systems, versus outcome-only evaluation?"</w:t>
      </w:r>
    </w:p>
    <w:p>
      <w:pPr>
        <w:spacing w:before="0" w:after="80"/>
      </w:pPr>
      <w:r>
        <w:rPr>
          <w:rFonts w:ascii="Calibri" w:hAnsi="Calibri"/>
          <w:color w:val="28323C"/>
          <w:sz w:val="19"/>
        </w:rPr>
        <w:t>4. "What harmonized standards is BSI currently referencing for cybersecurity assessment of AI systems, and is there interest in incorporating the OWASP agent vulnerability framework?"</w:t>
      </w:r>
    </w:p>
    <w:p>
      <w:pPr>
        <w:spacing w:before="0" w:after="80"/>
      </w:pPr>
      <w:r>
        <w:rPr>
          <w:rFonts w:ascii="Calibri" w:hAnsi="Calibri"/>
          <w:color w:val="28323C"/>
          <w:sz w:val="19"/>
        </w:rPr>
        <w:t>5. "How does BSI approach the challenge of benchmark contamination when evaluating a manufacturer's claimed model performance metrics?"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