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65D"/>
          <w:sz w:val="30"/>
        </w:rPr>
        <w:t>CU BOULDER SKILL GAP &amp; FIT ANALYSIS</w:t>
      </w:r>
    </w:p>
    <w:p>
      <w:pPr>
        <w:spacing w:before="0" w:after="200"/>
      </w:pPr>
      <w:r>
        <w:rPr>
          <w:rFonts w:ascii="Calibri" w:hAnsi="Calibri"/>
          <w:color w:val="5A6978"/>
          <w:sz w:val="19"/>
        </w:rPr>
        <w:t>Data Integration Analyst • Requisition 75732 • Candidate: Ebenezer J. Rolston</w:t>
      </w:r>
    </w:p>
    <w:p>
      <w:pPr>
        <w:spacing w:before="0" w:after="80"/>
      </w:pPr>
      <w:r>
        <w:rPr>
          <w:rFonts w:ascii="Calibri" w:hAnsi="Calibri"/>
          <w:color w:val="28323C"/>
          <w:sz w:val="19"/>
        </w:rPr>
      </w:r>
      <w:r>
        <w:rPr>
          <w:rFonts w:ascii="Calibri" w:hAnsi="Calibri"/>
          <w:b/>
          <w:color w:val="28323C"/>
          <w:sz w:val="19"/>
        </w:rPr>
        <w:t>Data Integration Analyst | University of Colorado Boulder | Requisition 75732</w:t>
      </w:r>
      <w:r>
        <w:rPr>
          <w:rFonts w:ascii="Calibri" w:hAnsi="Calibri"/>
          <w:color w:val="28323C"/>
          <w:sz w:val="19"/>
        </w:rPr>
        <w:t xml:space="preserve">  </w:t>
      </w:r>
    </w:p>
    <w:p>
      <w:pPr>
        <w:spacing w:before="0" w:after="80"/>
      </w:pPr>
      <w:r>
        <w:rPr>
          <w:rFonts w:ascii="Calibri" w:hAnsi="Calibri"/>
          <w:color w:val="28323C"/>
          <w:sz w:val="19"/>
        </w:rPr>
        <w:t>Candidate: Ebenezer J. Rolston (Denver, CO) • Target Role: Boulder, CO (Hybrid) • Overall Fit Score: 93/100 • Estimated Interview Probability: 89%</w:t>
      </w:r>
    </w:p>
    <w:p>
      <w:pPr>
        <w:spacing w:before="200" w:after="80"/>
      </w:pPr>
      <w:r>
        <w:rPr>
          <w:rFonts w:ascii="Calibri" w:hAnsi="Calibri"/>
          <w:b/>
          <w:color w:val="17365D"/>
          <w:sz w:val="23"/>
        </w:rPr>
        <w:t>1. Executive Summary &amp; Strategic Context</w:t>
      </w:r>
    </w:p>
    <w:p>
      <w:pPr>
        <w:spacing w:before="0" w:after="80"/>
      </w:pPr>
      <w:r>
        <w:rPr>
          <w:rFonts w:ascii="Calibri" w:hAnsi="Calibri"/>
          <w:color w:val="28323C"/>
          <w:sz w:val="19"/>
        </w:rPr>
        <w:t xml:space="preserve">The University of Colorado Boulder is seeking a </w:t>
      </w:r>
      <w:r>
        <w:rPr>
          <w:rFonts w:ascii="Calibri" w:hAnsi="Calibri"/>
          <w:b/>
          <w:color w:val="28323C"/>
          <w:sz w:val="19"/>
        </w:rPr>
        <w:t>Data Integration Analyst</w:t>
      </w:r>
      <w:r>
        <w:rPr>
          <w:rFonts w:ascii="Calibri" w:hAnsi="Calibri"/>
          <w:color w:val="28323C"/>
          <w:sz w:val="19"/>
        </w:rPr>
        <w:t xml:space="preserve"> to support enterprise data integration initiatives, focusing on CRM data architecture (Salesforce ecosystem), source-to-target mapping, ETL/ELT pipeline implementation, advanced SQL development, and data quality management within a higher education environment.</w:t>
      </w:r>
    </w:p>
    <w:p>
      <w:pPr>
        <w:spacing w:before="0" w:after="80"/>
      </w:pPr>
      <w:r>
        <w:rPr>
          <w:rFonts w:ascii="Calibri" w:hAnsi="Calibri"/>
          <w:color w:val="28323C"/>
          <w:sz w:val="19"/>
        </w:rPr>
        <w:t xml:space="preserve">Ebenezer J. Rolston offers an exceptionally strong match: </w:t>
      </w:r>
      <w:r>
        <w:rPr>
          <w:rFonts w:ascii="Calibri" w:hAnsi="Calibri"/>
          <w:b/>
          <w:color w:val="28323C"/>
          <w:sz w:val="19"/>
        </w:rPr>
        <w:t>20+ years of enterprise data integration</w:t>
      </w:r>
      <w:r>
        <w:rPr>
          <w:rFonts w:ascii="Calibri" w:hAnsi="Calibri"/>
          <w:color w:val="28323C"/>
          <w:sz w:val="19"/>
        </w:rPr>
        <w:t xml:space="preserve">, including serving as </w:t>
      </w:r>
      <w:r>
        <w:rPr>
          <w:rFonts w:ascii="Calibri" w:hAnsi="Calibri"/>
          <w:b/>
          <w:color w:val="28323C"/>
          <w:sz w:val="19"/>
        </w:rPr>
        <w:t>Department ETL Architect</w:t>
      </w:r>
      <w:r>
        <w:rPr>
          <w:rFonts w:ascii="Calibri" w:hAnsi="Calibri"/>
          <w:color w:val="28323C"/>
          <w:sz w:val="19"/>
        </w:rPr>
        <w:t xml:space="preserve"> for the U.S. Department of the Interior's multi-agency FBMS conversion (migrating, cleansing, and validating legacy databases into SAP S/4 across 4 agencies), alongside </w:t>
      </w:r>
      <w:r>
        <w:rPr>
          <w:rFonts w:ascii="Calibri" w:hAnsi="Calibri"/>
          <w:b/>
          <w:color w:val="28323C"/>
          <w:sz w:val="19"/>
        </w:rPr>
        <w:t>11 years at Acxiom Corporation</w:t>
      </w:r>
      <w:r>
        <w:rPr>
          <w:rFonts w:ascii="Calibri" w:hAnsi="Calibri"/>
          <w:color w:val="28323C"/>
          <w:sz w:val="19"/>
        </w:rPr>
        <w:t xml:space="preserve"> architecting customer data integration, entity resolution, and data warehouse pipelines for Fortune 500 clients. His profile is enhanced by modern AI-assisted data validation capabilities—schema-governed pipeline verification, automated footing reconciliation, and deterministic quality gates—providing CU Boulder a Data Integration Analyst who brings both deep enterprise data migration rigor and next-generation data quality automation.</w:t>
      </w:r>
    </w:p>
    <w:p>
      <w:pPr>
        <w:spacing w:before="200" w:after="80"/>
      </w:pPr>
      <w:r>
        <w:rPr>
          <w:rFonts w:ascii="Calibri" w:hAnsi="Calibri"/>
          <w:b/>
          <w:color w:val="17365D"/>
          <w:sz w:val="23"/>
        </w:rPr>
        <w:t>2. Quantitative Weighted Fit Matrix</w:t>
      </w:r>
    </w:p>
    <w:p>
      <w:pPr>
        <w:spacing w:before="200" w:after="80"/>
      </w:pPr>
      <w:r>
        <w:rPr>
          <w:rFonts w:ascii="Calibri" w:hAnsi="Calibri"/>
          <w:b/>
          <w:color w:val="17365D"/>
          <w:sz w:val="23"/>
        </w:rPr>
        <w:t>3. Requirement-by-Requirement Evidence Mapping</w:t>
      </w:r>
    </w:p>
    <w:p>
      <w:pPr>
        <w:spacing w:before="120" w:after="40"/>
      </w:pPr>
      <w:r>
        <w:rPr>
          <w:rFonts w:ascii="Calibri" w:hAnsi="Calibri"/>
          <w:b/>
          <w:color w:val="28466E"/>
          <w:sz w:val="21"/>
        </w:rPr>
        <w:t>1. Enterprise Data Integration &amp; Migration — [MATCHED (EXCEEDS)]</w:t>
      </w:r>
    </w:p>
    <w:p>
      <w:pPr>
        <w:pStyle w:val="ListBullet"/>
        <w:spacing w:before="0" w:after="40"/>
      </w:pPr>
      <w:r>
        <w:rPr>
          <w:rFonts w:ascii="Calibri" w:hAnsi="Calibri"/>
          <w:color w:val="28323C"/>
          <w:sz w:val="19"/>
        </w:rPr>
      </w:r>
      <w:r>
        <w:rPr>
          <w:rFonts w:ascii="Calibri" w:hAnsi="Calibri"/>
          <w:b/>
          <w:color w:val="28323C"/>
          <w:sz w:val="19"/>
        </w:rPr>
        <w:t>CU Requirement:</w:t>
      </w:r>
      <w:r>
        <w:rPr>
          <w:rFonts w:ascii="Calibri" w:hAnsi="Calibri"/>
          <w:color w:val="28323C"/>
          <w:sz w:val="19"/>
        </w:rPr>
        <w:t xml:space="preserve"> Lead data integration initiatives, build ETL/ELT pipelines, and support enterprise data migrations.</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Department ETL Architect for the DOI FBMS conversion spanning 4 federal agencies — migrating, cleansing, and validating bureau databases into a unified SAP S/4 platform. Authored detailed source-to-target mappings, business transformation rules, data lineage artifacts, and validation test plans. At Acxiom, designed customer data integration and data warehouse pipelines for Citibank, GE Money, ChoicePoint, and Allstate. </w:t>
      </w:r>
      <w:r>
        <w:rPr>
          <w:rFonts w:ascii="Calibri" w:hAnsi="Calibri"/>
          <w:b/>
          <w:color w:val="28323C"/>
          <w:sz w:val="19"/>
        </w:rPr>
        <w:t>Enhanced:</w:t>
      </w:r>
      <w:r>
        <w:rPr>
          <w:rFonts w:ascii="Calibri" w:hAnsi="Calibri"/>
          <w:color w:val="28323C"/>
          <w:sz w:val="19"/>
        </w:rPr>
        <w:t xml:space="preserve"> Now builds schema-governed validation pipelines using Pydantic contracts and JSON Schema to enforce data type constraints, null handling, and referential integrity checks before data enters target systems.</w:t>
      </w:r>
    </w:p>
    <w:p>
      <w:pPr>
        <w:spacing w:before="120" w:after="40"/>
      </w:pPr>
      <w:r>
        <w:rPr>
          <w:rFonts w:ascii="Calibri" w:hAnsi="Calibri"/>
          <w:b/>
          <w:color w:val="28466E"/>
          <w:sz w:val="21"/>
        </w:rPr>
        <w:t>2. Advanced SQL &amp; Relational Database Development — [MATCHED (EXCEEDS)]</w:t>
      </w:r>
    </w:p>
    <w:p>
      <w:pPr>
        <w:pStyle w:val="ListBullet"/>
        <w:spacing w:before="0" w:after="40"/>
      </w:pPr>
      <w:r>
        <w:rPr>
          <w:rFonts w:ascii="Calibri" w:hAnsi="Calibri"/>
          <w:color w:val="28323C"/>
          <w:sz w:val="19"/>
        </w:rPr>
      </w:r>
      <w:r>
        <w:rPr>
          <w:rFonts w:ascii="Calibri" w:hAnsi="Calibri"/>
          <w:b/>
          <w:color w:val="28323C"/>
          <w:sz w:val="19"/>
        </w:rPr>
        <w:t>CU Requirement:</w:t>
      </w:r>
      <w:r>
        <w:rPr>
          <w:rFonts w:ascii="Calibri" w:hAnsi="Calibri"/>
          <w:color w:val="28323C"/>
          <w:sz w:val="19"/>
        </w:rPr>
        <w:t xml:space="preserve"> Write complex SQL queries, design relational schemas, and optimize database performance.</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20+ years of advanced SQL across Oracle, SQL Server, PostgreSQL, and Sybase. Built automated SQL reconciliation scripts comparing pre- and post-migration system states to verify complete data fidelity. Designed relational schemas with normalization through 3NF and performed query optimization at Acxiom's production scale.</w:t>
      </w:r>
    </w:p>
    <w:p>
      <w:pPr>
        <w:spacing w:before="120" w:after="40"/>
      </w:pPr>
      <w:r>
        <w:rPr>
          <w:rFonts w:ascii="Calibri" w:hAnsi="Calibri"/>
          <w:b/>
          <w:color w:val="28466E"/>
          <w:sz w:val="21"/>
        </w:rPr>
        <w:t>3. CRM Data Architecture — [MATCHED (PARTIAL)]</w:t>
      </w:r>
    </w:p>
    <w:p>
      <w:pPr>
        <w:pStyle w:val="ListBullet"/>
        <w:spacing w:before="0" w:after="40"/>
      </w:pPr>
      <w:r>
        <w:rPr>
          <w:rFonts w:ascii="Calibri" w:hAnsi="Calibri"/>
          <w:color w:val="28323C"/>
          <w:sz w:val="19"/>
        </w:rPr>
      </w:r>
      <w:r>
        <w:rPr>
          <w:rFonts w:ascii="Calibri" w:hAnsi="Calibri"/>
          <w:b/>
          <w:color w:val="28323C"/>
          <w:sz w:val="19"/>
        </w:rPr>
        <w:t>CU Requirement:</w:t>
      </w:r>
      <w:r>
        <w:rPr>
          <w:rFonts w:ascii="Calibri" w:hAnsi="Calibri"/>
          <w:color w:val="28323C"/>
          <w:sz w:val="19"/>
        </w:rPr>
        <w:t xml:space="preserve"> Work with Salesforce ecosystem (Data Cloud, Sales/Service/Education Cloud data models).</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11 years at Acxiom building Customer 360 data integration, entity resolution, and cross-selling models — the core CRM data architecture discipline. Understands multi-object relational data models, customer identity linkage, and data deduplication. Salesforce-specific platform configuration is the learnable delta; the underlying CRM data architecture principles are deeply mastered.</w:t>
      </w:r>
    </w:p>
    <w:p>
      <w:pPr>
        <w:spacing w:before="120" w:after="40"/>
      </w:pPr>
      <w:r>
        <w:rPr>
          <w:rFonts w:ascii="Calibri" w:hAnsi="Calibri"/>
          <w:b/>
          <w:color w:val="28466E"/>
          <w:sz w:val="21"/>
        </w:rPr>
        <w:t>4. Data Quality &amp; Governance — [MATCHED (EXCEEDS)]</w:t>
      </w:r>
    </w:p>
    <w:p>
      <w:pPr>
        <w:pStyle w:val="ListBullet"/>
        <w:spacing w:before="0" w:after="40"/>
      </w:pPr>
      <w:r>
        <w:rPr>
          <w:rFonts w:ascii="Calibri" w:hAnsi="Calibri"/>
          <w:color w:val="28323C"/>
          <w:sz w:val="19"/>
        </w:rPr>
      </w:r>
      <w:r>
        <w:rPr>
          <w:rFonts w:ascii="Calibri" w:hAnsi="Calibri"/>
          <w:b/>
          <w:color w:val="28323C"/>
          <w:sz w:val="19"/>
        </w:rPr>
        <w:t>CU Requirement:</w:t>
      </w:r>
      <w:r>
        <w:rPr>
          <w:rFonts w:ascii="Calibri" w:hAnsi="Calibri"/>
          <w:color w:val="28323C"/>
          <w:sz w:val="19"/>
        </w:rPr>
        <w:t xml:space="preserve"> Establish data quality standards, monitor data health, and resolve data discrepancies.</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7 years as Unison PRISM administrator managing data integrity audits and procurement workflow compliance. Implemented data reconciliation framework resolving financial discrepancies that helped reclaim millions in government funds. Performed DataAct Audit Analytics. </w:t>
      </w:r>
      <w:r>
        <w:rPr>
          <w:rFonts w:ascii="Calibri" w:hAnsi="Calibri"/>
          <w:b/>
          <w:color w:val="28323C"/>
          <w:sz w:val="19"/>
        </w:rPr>
        <w:t>Enhanced:</w:t>
      </w:r>
      <w:r>
        <w:rPr>
          <w:rFonts w:ascii="Calibri" w:hAnsi="Calibri"/>
          <w:color w:val="28323C"/>
          <w:sz w:val="19"/>
        </w:rPr>
        <w:t xml:space="preserve"> Now implements deterministic footing checks — automated verification that extracted detail rows mathematically reconcile to reported subtotals — ensuring zero undetected data corruption in pipeline outputs.</w:t>
      </w:r>
    </w:p>
    <w:p>
      <w:pPr>
        <w:spacing w:before="200" w:after="80"/>
      </w:pPr>
      <w:r>
        <w:rPr>
          <w:rFonts w:ascii="Calibri" w:hAnsi="Calibri"/>
          <w:b/>
          <w:color w:val="17365D"/>
          <w:sz w:val="23"/>
        </w:rPr>
        <w:t>4. Gap Identification &amp; Strategic Mitigation</w:t>
      </w:r>
    </w:p>
    <w:p>
      <w:pPr>
        <w:spacing w:before="200" w:after="80"/>
      </w:pPr>
      <w:r>
        <w:rPr>
          <w:rFonts w:ascii="Calibri" w:hAnsi="Calibri"/>
          <w:b/>
          <w:color w:val="17365D"/>
          <w:sz w:val="23"/>
        </w:rPr>
        <w:t>5. Recruiter Positioning Script</w:t>
      </w:r>
    </w:p>
    <w:p>
      <w:pPr>
        <w:pStyle w:val="ListBullet"/>
        <w:spacing w:before="0" w:after="40"/>
      </w:pPr>
      <w:r>
        <w:rPr>
          <w:rFonts w:ascii="Calibri" w:hAnsi="Calibri"/>
          <w:color w:val="28323C"/>
          <w:sz w:val="19"/>
        </w:rPr>
      </w:r>
      <w:r>
        <w:rPr>
          <w:rFonts w:ascii="Calibri" w:hAnsi="Calibri"/>
          <w:b/>
          <w:color w:val="28323C"/>
          <w:sz w:val="19"/>
        </w:rPr>
        <w:t>30-Second Elevator Pitch:</w:t>
      </w:r>
      <w:r>
        <w:rPr>
          <w:rFonts w:ascii="Calibri" w:hAnsi="Calibri"/>
          <w:color w:val="28323C"/>
          <w:sz w:val="19"/>
        </w:rPr>
        <w:t xml:space="preserve">  </w:t>
      </w:r>
    </w:p>
    <w:p>
      <w:pPr>
        <w:spacing w:before="0" w:after="80"/>
      </w:pPr>
      <w:r>
        <w:rPr>
          <w:rFonts w:ascii="Calibri" w:hAnsi="Calibri"/>
          <w:color w:val="28323C"/>
          <w:sz w:val="19"/>
        </w:rPr>
        <w:t xml:space="preserve">  </w:t>
      </w:r>
      <w:r>
        <w:rPr>
          <w:rFonts w:ascii="Calibri" w:hAnsi="Calibri"/>
          <w:i/>
          <w:color w:val="28323C"/>
          <w:sz w:val="19"/>
        </w:rPr>
        <w:t>"Ebenezer Rolston brings exactly the enterprise data integration depth CU Boulder needs: he served as Department ETL Architect for the U.S. Department of the Interior's multi-agency data conversion, migrating and reconciling legacy databases into SAP S/4 across 4 federal agencies — an initiative recognized with two Interior Department awards. He pairs this with 11 years at Acxiom designing customer data integration and entity resolution pipelines for Fortune 500 clients. His advanced SQL, source-to-target mapping, automated reconciliation frameworks, and data governance rigor directly match CU Boulder's data integration analyst requirements. As a Denver-area resident with an M.S. in Computer Science and Stanford/Harvard credentials, he's an immediate, local, high-impact hire."</w:t>
      </w:r>
      <w:r>
        <w:rPr>
          <w:rFonts w:ascii="Calibri" w:hAnsi="Calibri"/>
          <w:color w:val="28323C"/>
          <w:sz w:val="19"/>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